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6E75B" w14:textId="77777777" w:rsidR="002A1954" w:rsidRPr="00EB6BC8" w:rsidRDefault="002A1954" w:rsidP="00BE6102">
      <w:pPr>
        <w:spacing w:after="0"/>
        <w:rPr>
          <w:rFonts w:ascii="Times New Roman" w:hAnsi="Times New Roman" w:cs="Times New Roman"/>
          <w:sz w:val="28"/>
          <w:szCs w:val="28"/>
        </w:rPr>
      </w:pPr>
      <w:r w:rsidRPr="00EB6BC8">
        <w:rPr>
          <w:rFonts w:ascii="Times New Roman" w:hAnsi="Times New Roman" w:cs="Times New Roman"/>
          <w:sz w:val="28"/>
          <w:szCs w:val="28"/>
        </w:rPr>
        <w:t xml:space="preserve">Alabama </w:t>
      </w:r>
      <w:r w:rsidR="00AC39D2">
        <w:rPr>
          <w:rFonts w:ascii="Times New Roman" w:hAnsi="Times New Roman" w:cs="Times New Roman"/>
          <w:sz w:val="28"/>
          <w:szCs w:val="28"/>
        </w:rPr>
        <w:t xml:space="preserve">Tort and Commercial Law </w:t>
      </w:r>
      <w:r w:rsidRPr="00EB6BC8">
        <w:rPr>
          <w:rFonts w:ascii="Times New Roman" w:hAnsi="Times New Roman" w:cs="Times New Roman"/>
          <w:sz w:val="28"/>
          <w:szCs w:val="28"/>
        </w:rPr>
        <w:t>Update</w:t>
      </w:r>
    </w:p>
    <w:p w14:paraId="50A63ACA" w14:textId="77777777" w:rsidR="002A1954" w:rsidRPr="00EB6BC8" w:rsidRDefault="002A1954" w:rsidP="00BE6102">
      <w:pPr>
        <w:spacing w:after="0"/>
        <w:rPr>
          <w:rFonts w:ascii="Times New Roman" w:hAnsi="Times New Roman" w:cs="Times New Roman"/>
          <w:sz w:val="28"/>
          <w:szCs w:val="28"/>
        </w:rPr>
      </w:pPr>
      <w:r w:rsidRPr="00EB6BC8">
        <w:rPr>
          <w:rFonts w:ascii="Times New Roman" w:hAnsi="Times New Roman" w:cs="Times New Roman"/>
          <w:sz w:val="28"/>
          <w:szCs w:val="28"/>
        </w:rPr>
        <w:t xml:space="preserve">January 1, 2019 to </w:t>
      </w:r>
      <w:r w:rsidR="00EB6BC8" w:rsidRPr="00EB6BC8">
        <w:rPr>
          <w:rFonts w:ascii="Times New Roman" w:hAnsi="Times New Roman" w:cs="Times New Roman"/>
          <w:sz w:val="28"/>
          <w:szCs w:val="28"/>
        </w:rPr>
        <w:t xml:space="preserve">October </w:t>
      </w:r>
      <w:r w:rsidR="007A1D8D">
        <w:rPr>
          <w:rFonts w:ascii="Times New Roman" w:hAnsi="Times New Roman" w:cs="Times New Roman"/>
          <w:sz w:val="28"/>
          <w:szCs w:val="28"/>
        </w:rPr>
        <w:t>30</w:t>
      </w:r>
      <w:r w:rsidR="00501B07" w:rsidRPr="00EB6BC8">
        <w:rPr>
          <w:rFonts w:ascii="Times New Roman" w:hAnsi="Times New Roman" w:cs="Times New Roman"/>
          <w:sz w:val="28"/>
          <w:szCs w:val="28"/>
        </w:rPr>
        <w:t>, 2020</w:t>
      </w:r>
    </w:p>
    <w:p w14:paraId="142A4215" w14:textId="77777777" w:rsidR="002A1954" w:rsidRPr="00EB6BC8" w:rsidRDefault="002A1954" w:rsidP="00BE6102">
      <w:pPr>
        <w:spacing w:after="0"/>
        <w:rPr>
          <w:rFonts w:ascii="Times New Roman" w:hAnsi="Times New Roman" w:cs="Times New Roman"/>
          <w:sz w:val="28"/>
          <w:szCs w:val="28"/>
        </w:rPr>
      </w:pPr>
      <w:r w:rsidRPr="00EB6BC8">
        <w:rPr>
          <w:rFonts w:ascii="Times New Roman" w:hAnsi="Times New Roman" w:cs="Times New Roman"/>
          <w:sz w:val="28"/>
          <w:szCs w:val="28"/>
        </w:rPr>
        <w:t>By M. Jansen Voss</w:t>
      </w:r>
    </w:p>
    <w:p w14:paraId="3435EC48" w14:textId="77777777" w:rsidR="00EF42DE" w:rsidRPr="00EB6BC8" w:rsidRDefault="00EF42DE" w:rsidP="00BE6102">
      <w:pPr>
        <w:spacing w:after="0"/>
        <w:rPr>
          <w:rFonts w:ascii="Times New Roman" w:hAnsi="Times New Roman" w:cs="Times New Roman"/>
          <w:sz w:val="28"/>
          <w:szCs w:val="28"/>
        </w:rPr>
      </w:pPr>
    </w:p>
    <w:p w14:paraId="13B65908" w14:textId="77777777" w:rsidR="0058777F" w:rsidRPr="00EB6BC8" w:rsidRDefault="0058777F" w:rsidP="00BE6102">
      <w:pPr>
        <w:spacing w:after="0"/>
        <w:rPr>
          <w:rFonts w:ascii="Times New Roman" w:hAnsi="Times New Roman" w:cs="Times New Roman"/>
          <w:b/>
          <w:sz w:val="28"/>
          <w:szCs w:val="28"/>
          <w:u w:val="single"/>
        </w:rPr>
      </w:pPr>
      <w:r w:rsidRPr="00EB6BC8">
        <w:rPr>
          <w:rFonts w:ascii="Times New Roman" w:hAnsi="Times New Roman" w:cs="Times New Roman"/>
          <w:b/>
          <w:sz w:val="28"/>
          <w:szCs w:val="28"/>
          <w:u w:val="single"/>
        </w:rPr>
        <w:t>Notable Trial Court Decisions</w:t>
      </w:r>
    </w:p>
    <w:p w14:paraId="55823756" w14:textId="77777777" w:rsidR="0058777F" w:rsidRPr="00EB6BC8" w:rsidRDefault="0058777F" w:rsidP="00BE6102">
      <w:pPr>
        <w:spacing w:after="0"/>
        <w:rPr>
          <w:rFonts w:ascii="Times New Roman" w:hAnsi="Times New Roman" w:cs="Times New Roman"/>
          <w:sz w:val="28"/>
          <w:szCs w:val="28"/>
        </w:rPr>
      </w:pPr>
    </w:p>
    <w:p w14:paraId="7F91B741" w14:textId="77777777" w:rsidR="0058777F" w:rsidRPr="00EB6BC8" w:rsidRDefault="0058777F" w:rsidP="0058777F">
      <w:pPr>
        <w:spacing w:after="0"/>
        <w:rPr>
          <w:rFonts w:ascii="Times New Roman" w:hAnsi="Times New Roman" w:cs="Times New Roman"/>
          <w:b/>
          <w:bCs/>
          <w:sz w:val="28"/>
          <w:szCs w:val="28"/>
        </w:rPr>
      </w:pPr>
      <w:r w:rsidRPr="00EB6BC8">
        <w:rPr>
          <w:rFonts w:ascii="Times New Roman" w:hAnsi="Times New Roman" w:cs="Times New Roman"/>
          <w:b/>
          <w:bCs/>
          <w:sz w:val="28"/>
          <w:szCs w:val="28"/>
        </w:rPr>
        <w:t>Sanctions/Mediation—</w:t>
      </w:r>
      <w:r w:rsidRPr="00EB6BC8">
        <w:rPr>
          <w:rFonts w:ascii="Times New Roman" w:hAnsi="Times New Roman" w:cs="Times New Roman"/>
          <w:b/>
          <w:bCs/>
          <w:i/>
          <w:sz w:val="28"/>
          <w:szCs w:val="28"/>
        </w:rPr>
        <w:t>Harbin v. Allstate et al</w:t>
      </w:r>
      <w:r w:rsidRPr="00EB6BC8">
        <w:rPr>
          <w:rFonts w:ascii="Times New Roman" w:hAnsi="Times New Roman" w:cs="Times New Roman"/>
          <w:b/>
          <w:bCs/>
          <w:sz w:val="28"/>
          <w:szCs w:val="28"/>
        </w:rPr>
        <w:t xml:space="preserve">, CV-2017-901688 in the Circuit Court of Madison County, Alabama </w:t>
      </w:r>
    </w:p>
    <w:p w14:paraId="143030BA" w14:textId="77777777" w:rsidR="0058777F" w:rsidRPr="00EB6BC8" w:rsidRDefault="0058777F" w:rsidP="0058777F">
      <w:pPr>
        <w:spacing w:after="0"/>
        <w:rPr>
          <w:rFonts w:ascii="Times New Roman" w:hAnsi="Times New Roman" w:cs="Times New Roman"/>
          <w:b/>
          <w:bCs/>
          <w:sz w:val="28"/>
          <w:szCs w:val="28"/>
        </w:rPr>
      </w:pPr>
    </w:p>
    <w:p w14:paraId="17CA09A4" w14:textId="77777777" w:rsidR="0058777F" w:rsidRPr="00EB6BC8" w:rsidRDefault="0058777F" w:rsidP="00D91AF3">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trial court ordered mediation</w:t>
      </w:r>
      <w:r w:rsidR="00DD5D18">
        <w:rPr>
          <w:rFonts w:ascii="Times New Roman" w:hAnsi="Times New Roman" w:cs="Times New Roman"/>
          <w:sz w:val="28"/>
          <w:szCs w:val="28"/>
        </w:rPr>
        <w:t xml:space="preserve"> w</w:t>
      </w:r>
      <w:r w:rsidR="00717A39">
        <w:rPr>
          <w:rFonts w:ascii="Times New Roman" w:hAnsi="Times New Roman" w:cs="Times New Roman"/>
          <w:sz w:val="28"/>
          <w:szCs w:val="28"/>
        </w:rPr>
        <w:t>ith</w:t>
      </w:r>
      <w:r w:rsidRPr="00EB6BC8">
        <w:rPr>
          <w:rFonts w:ascii="Times New Roman" w:hAnsi="Times New Roman" w:cs="Times New Roman"/>
          <w:sz w:val="28"/>
          <w:szCs w:val="28"/>
        </w:rPr>
        <w:t xml:space="preserve"> representatives of each party with full settlement authority present. However, Allstate's defense counsel was the only person who attended mediation</w:t>
      </w:r>
      <w:r w:rsidR="00D91AF3">
        <w:rPr>
          <w:rFonts w:ascii="Times New Roman" w:hAnsi="Times New Roman" w:cs="Times New Roman"/>
          <w:sz w:val="28"/>
          <w:szCs w:val="28"/>
        </w:rPr>
        <w:t xml:space="preserve"> for Allstate</w:t>
      </w:r>
      <w:r w:rsidRPr="00EB6BC8">
        <w:rPr>
          <w:rFonts w:ascii="Times New Roman" w:hAnsi="Times New Roman" w:cs="Times New Roman"/>
          <w:sz w:val="28"/>
          <w:szCs w:val="28"/>
        </w:rPr>
        <w:t xml:space="preserve">, </w:t>
      </w:r>
      <w:r w:rsidR="002320CF">
        <w:rPr>
          <w:rFonts w:ascii="Times New Roman" w:hAnsi="Times New Roman" w:cs="Times New Roman"/>
          <w:sz w:val="28"/>
          <w:szCs w:val="28"/>
        </w:rPr>
        <w:t>but</w:t>
      </w:r>
      <w:r w:rsidRPr="00EB6BC8">
        <w:rPr>
          <w:rFonts w:ascii="Times New Roman" w:hAnsi="Times New Roman" w:cs="Times New Roman"/>
          <w:sz w:val="28"/>
          <w:szCs w:val="28"/>
        </w:rPr>
        <w:t xml:space="preserve"> defense counsel did not have authority to settle the case. Allstate never made any settlement offer or counteroffer during mediation. Just prior to trial, Allstate stipulated to liability. The </w:t>
      </w:r>
      <w:r w:rsidR="002320CF">
        <w:rPr>
          <w:rFonts w:ascii="Times New Roman" w:hAnsi="Times New Roman" w:cs="Times New Roman"/>
          <w:sz w:val="28"/>
          <w:szCs w:val="28"/>
        </w:rPr>
        <w:t>trial c</w:t>
      </w:r>
      <w:r w:rsidRPr="00EB6BC8">
        <w:rPr>
          <w:rFonts w:ascii="Times New Roman" w:hAnsi="Times New Roman" w:cs="Times New Roman"/>
          <w:sz w:val="28"/>
          <w:szCs w:val="28"/>
        </w:rPr>
        <w:t xml:space="preserve">ourt, citing other instances of Allstate's failure to comply with mediation orders, sanctioned Allstate in the amount of $620,141.36. "[T]he Court has determined that sanctioning Allstate is necessary to impress upon Allstate that all parties to civil litigation in this State should comply with the intended effect of the </w:t>
      </w:r>
      <w:r w:rsidRPr="00EB6BC8">
        <w:rPr>
          <w:rFonts w:ascii="Times New Roman" w:hAnsi="Times New Roman" w:cs="Times New Roman"/>
          <w:i/>
          <w:iCs/>
          <w:sz w:val="28"/>
          <w:szCs w:val="28"/>
        </w:rPr>
        <w:t xml:space="preserve">Alabama Rules of Civil Procedure </w:t>
      </w:r>
      <w:r w:rsidRPr="00EB6BC8">
        <w:rPr>
          <w:rFonts w:ascii="Times New Roman" w:hAnsi="Times New Roman" w:cs="Times New Roman"/>
          <w:sz w:val="28"/>
          <w:szCs w:val="28"/>
        </w:rPr>
        <w:t xml:space="preserve">which state that the rules shall be construed and administered to secure the just, speedy and inexpensive determination of every action. </w:t>
      </w:r>
      <w:r w:rsidRPr="00EB6BC8">
        <w:rPr>
          <w:rFonts w:ascii="Times New Roman" w:hAnsi="Times New Roman" w:cs="Times New Roman"/>
          <w:i/>
          <w:iCs/>
          <w:sz w:val="28"/>
          <w:szCs w:val="28"/>
        </w:rPr>
        <w:t xml:space="preserve">See </w:t>
      </w:r>
      <w:r w:rsidRPr="00EB6BC8">
        <w:rPr>
          <w:rFonts w:ascii="Times New Roman" w:hAnsi="Times New Roman" w:cs="Times New Roman"/>
          <w:sz w:val="28"/>
          <w:szCs w:val="28"/>
        </w:rPr>
        <w:t>Ala. R. Civ. Pro. l (c)."  </w:t>
      </w:r>
      <w:r w:rsidR="002320CF">
        <w:rPr>
          <w:rFonts w:ascii="Times New Roman" w:hAnsi="Times New Roman" w:cs="Times New Roman"/>
          <w:sz w:val="28"/>
          <w:szCs w:val="28"/>
        </w:rPr>
        <w:t>The</w:t>
      </w:r>
      <w:r w:rsidRPr="00EB6BC8">
        <w:rPr>
          <w:rFonts w:ascii="Times New Roman" w:hAnsi="Times New Roman" w:cs="Times New Roman"/>
          <w:sz w:val="28"/>
          <w:szCs w:val="28"/>
        </w:rPr>
        <w:t xml:space="preserve"> case is on appeal before the Alabama Supreme Court.</w:t>
      </w:r>
    </w:p>
    <w:p w14:paraId="3CE0A9A7" w14:textId="77777777" w:rsidR="0058777F" w:rsidRPr="00EB6BC8" w:rsidRDefault="0058777F" w:rsidP="00BE6102">
      <w:pPr>
        <w:spacing w:after="0"/>
        <w:rPr>
          <w:rFonts w:ascii="Times New Roman" w:hAnsi="Times New Roman" w:cs="Times New Roman"/>
          <w:sz w:val="28"/>
          <w:szCs w:val="28"/>
        </w:rPr>
      </w:pPr>
    </w:p>
    <w:p w14:paraId="11D933AD" w14:textId="77777777" w:rsidR="00246A31" w:rsidRPr="00EB6BC8" w:rsidRDefault="00246A31" w:rsidP="00BE6102">
      <w:pPr>
        <w:spacing w:after="0"/>
        <w:rPr>
          <w:rFonts w:ascii="Times New Roman" w:hAnsi="Times New Roman" w:cs="Times New Roman"/>
          <w:b/>
          <w:sz w:val="28"/>
          <w:szCs w:val="28"/>
          <w:u w:val="single"/>
        </w:rPr>
      </w:pPr>
      <w:r w:rsidRPr="00EB6BC8">
        <w:rPr>
          <w:rFonts w:ascii="Times New Roman" w:hAnsi="Times New Roman" w:cs="Times New Roman"/>
          <w:b/>
          <w:sz w:val="28"/>
          <w:szCs w:val="28"/>
          <w:u w:val="single"/>
        </w:rPr>
        <w:t>Notable Rule Changes</w:t>
      </w:r>
    </w:p>
    <w:p w14:paraId="54A03CAD" w14:textId="77777777" w:rsidR="00246A31" w:rsidRPr="00EB6BC8" w:rsidRDefault="00246A31" w:rsidP="00246A31">
      <w:pPr>
        <w:spacing w:after="0"/>
        <w:rPr>
          <w:rFonts w:ascii="Times New Roman" w:hAnsi="Times New Roman" w:cs="Times New Roman"/>
          <w:sz w:val="28"/>
          <w:szCs w:val="28"/>
        </w:rPr>
      </w:pPr>
    </w:p>
    <w:p w14:paraId="2244A7F8" w14:textId="77777777" w:rsidR="00246A31" w:rsidRPr="00EB6BC8" w:rsidRDefault="00246A31" w:rsidP="00246A31">
      <w:pPr>
        <w:spacing w:after="0"/>
        <w:rPr>
          <w:rFonts w:ascii="Times New Roman" w:hAnsi="Times New Roman" w:cs="Times New Roman"/>
          <w:sz w:val="28"/>
          <w:szCs w:val="28"/>
        </w:rPr>
      </w:pPr>
      <w:r w:rsidRPr="00EB6BC8">
        <w:rPr>
          <w:rFonts w:ascii="Times New Roman" w:hAnsi="Times New Roman" w:cs="Times New Roman"/>
          <w:b/>
          <w:sz w:val="28"/>
          <w:szCs w:val="28"/>
        </w:rPr>
        <w:t>Alabama Rules of Appellate Procedure</w:t>
      </w:r>
      <w:r w:rsidRPr="00EB6BC8">
        <w:rPr>
          <w:rFonts w:ascii="Times New Roman" w:hAnsi="Times New Roman" w:cs="Times New Roman"/>
          <w:sz w:val="28"/>
          <w:szCs w:val="28"/>
        </w:rPr>
        <w:t xml:space="preserve"> </w:t>
      </w:r>
    </w:p>
    <w:p w14:paraId="3EEC96E2" w14:textId="77777777" w:rsidR="00246A31" w:rsidRPr="00EB6BC8" w:rsidRDefault="00246A31" w:rsidP="00246A31">
      <w:pPr>
        <w:spacing w:after="0"/>
        <w:rPr>
          <w:rFonts w:ascii="Times New Roman" w:hAnsi="Times New Roman" w:cs="Times New Roman"/>
          <w:sz w:val="28"/>
          <w:szCs w:val="28"/>
        </w:rPr>
      </w:pPr>
    </w:p>
    <w:p w14:paraId="15652203" w14:textId="77777777" w:rsidR="00246A31" w:rsidRPr="00EB6BC8" w:rsidRDefault="002320CF" w:rsidP="00246A31">
      <w:pPr>
        <w:pStyle w:val="ListParagraph"/>
        <w:numPr>
          <w:ilvl w:val="0"/>
          <w:numId w:val="3"/>
        </w:numPr>
        <w:spacing w:after="0"/>
        <w:rPr>
          <w:rFonts w:ascii="Times New Roman" w:hAnsi="Times New Roman" w:cs="Times New Roman"/>
          <w:sz w:val="28"/>
          <w:szCs w:val="28"/>
        </w:rPr>
      </w:pPr>
      <w:r>
        <w:rPr>
          <w:rFonts w:ascii="Times New Roman" w:hAnsi="Times New Roman" w:cs="Times New Roman"/>
          <w:sz w:val="28"/>
          <w:szCs w:val="28"/>
        </w:rPr>
        <w:t>E</w:t>
      </w:r>
      <w:r w:rsidR="00246A31" w:rsidRPr="00EB6BC8">
        <w:rPr>
          <w:rFonts w:ascii="Times New Roman" w:hAnsi="Times New Roman" w:cs="Times New Roman"/>
          <w:sz w:val="28"/>
          <w:szCs w:val="28"/>
        </w:rPr>
        <w:t>ffective October 1, 2020</w:t>
      </w:r>
    </w:p>
    <w:p w14:paraId="63D6929F" w14:textId="77777777" w:rsidR="00246A31" w:rsidRPr="00EB6BC8" w:rsidRDefault="00246A31" w:rsidP="00246A31">
      <w:pPr>
        <w:pStyle w:val="ListParagraph"/>
        <w:numPr>
          <w:ilvl w:val="0"/>
          <w:numId w:val="3"/>
        </w:numPr>
        <w:spacing w:after="0"/>
        <w:rPr>
          <w:rFonts w:ascii="Times New Roman" w:hAnsi="Times New Roman" w:cs="Times New Roman"/>
          <w:sz w:val="28"/>
          <w:szCs w:val="28"/>
        </w:rPr>
      </w:pPr>
      <w:r w:rsidRPr="00EB6BC8">
        <w:rPr>
          <w:rFonts w:ascii="Times New Roman" w:hAnsi="Times New Roman" w:cs="Times New Roman"/>
          <w:bCs/>
          <w:sz w:val="28"/>
          <w:szCs w:val="28"/>
        </w:rPr>
        <w:t xml:space="preserve">Courier New has been replaced with </w:t>
      </w:r>
      <w:r w:rsidRPr="00EB6BC8">
        <w:rPr>
          <w:rFonts w:ascii="Times New Roman" w:hAnsi="Times New Roman" w:cs="Times New Roman"/>
          <w:sz w:val="28"/>
          <w:szCs w:val="28"/>
        </w:rPr>
        <w:t>Cen</w:t>
      </w:r>
      <w:r w:rsidRPr="00EB6BC8">
        <w:rPr>
          <w:rFonts w:ascii="Times New Roman" w:hAnsi="Times New Roman" w:cs="Times New Roman"/>
          <w:sz w:val="28"/>
          <w:szCs w:val="28"/>
        </w:rPr>
        <w:softHyphen/>
        <w:t xml:space="preserve">tury Schoolbook font in 14-point type. </w:t>
      </w:r>
    </w:p>
    <w:p w14:paraId="39C3CD2E" w14:textId="77777777" w:rsidR="00246A31" w:rsidRPr="00EB6BC8" w:rsidRDefault="00246A31" w:rsidP="00246A31">
      <w:pPr>
        <w:pStyle w:val="ListParagraph"/>
        <w:numPr>
          <w:ilvl w:val="0"/>
          <w:numId w:val="3"/>
        </w:numPr>
        <w:spacing w:after="0"/>
        <w:rPr>
          <w:rFonts w:ascii="Times New Roman" w:hAnsi="Times New Roman" w:cs="Times New Roman"/>
          <w:sz w:val="28"/>
          <w:szCs w:val="28"/>
        </w:rPr>
      </w:pPr>
      <w:r w:rsidRPr="00EB6BC8">
        <w:rPr>
          <w:rFonts w:ascii="Times New Roman" w:hAnsi="Times New Roman" w:cs="Times New Roman"/>
          <w:sz w:val="28"/>
          <w:szCs w:val="28"/>
        </w:rPr>
        <w:t xml:space="preserve">Page limits have been eliminated in favor of word counts. </w:t>
      </w:r>
    </w:p>
    <w:p w14:paraId="27A33B60" w14:textId="77777777" w:rsidR="00246A31" w:rsidRPr="00EB6BC8" w:rsidRDefault="00246A31" w:rsidP="00246A31">
      <w:pPr>
        <w:pStyle w:val="ListParagraph"/>
        <w:numPr>
          <w:ilvl w:val="1"/>
          <w:numId w:val="3"/>
        </w:numPr>
        <w:spacing w:after="0"/>
        <w:rPr>
          <w:rFonts w:ascii="Times New Roman" w:hAnsi="Times New Roman" w:cs="Times New Roman"/>
          <w:sz w:val="28"/>
          <w:szCs w:val="28"/>
        </w:rPr>
      </w:pPr>
      <w:r w:rsidRPr="00EB6BC8">
        <w:rPr>
          <w:rFonts w:ascii="Times New Roman" w:hAnsi="Times New Roman" w:cs="Times New Roman"/>
          <w:sz w:val="28"/>
          <w:szCs w:val="28"/>
        </w:rPr>
        <w:t xml:space="preserve">A brief in a noncapital case to consist of 14,000 words and a reply brief may not exceed 7,000 words. </w:t>
      </w:r>
    </w:p>
    <w:p w14:paraId="3C29874D" w14:textId="77777777" w:rsidR="00246A31" w:rsidRPr="00EB6BC8" w:rsidRDefault="00246A31" w:rsidP="00246A31">
      <w:pPr>
        <w:pStyle w:val="ListParagraph"/>
        <w:numPr>
          <w:ilvl w:val="1"/>
          <w:numId w:val="3"/>
        </w:numPr>
        <w:spacing w:after="0"/>
        <w:rPr>
          <w:rFonts w:ascii="Times New Roman" w:hAnsi="Times New Roman" w:cs="Times New Roman"/>
          <w:sz w:val="28"/>
          <w:szCs w:val="28"/>
        </w:rPr>
      </w:pPr>
      <w:r w:rsidRPr="00EB6BC8">
        <w:rPr>
          <w:rFonts w:ascii="Times New Roman" w:hAnsi="Times New Roman" w:cs="Times New Roman"/>
          <w:sz w:val="28"/>
          <w:szCs w:val="28"/>
        </w:rPr>
        <w:t>A supplemental brief or the responsive supple</w:t>
      </w:r>
      <w:r w:rsidRPr="00EB6BC8">
        <w:rPr>
          <w:rFonts w:ascii="Times New Roman" w:hAnsi="Times New Roman" w:cs="Times New Roman"/>
          <w:sz w:val="28"/>
          <w:szCs w:val="28"/>
        </w:rPr>
        <w:softHyphen/>
        <w:t xml:space="preserve">mental brief, may not exceed 5,000 words. </w:t>
      </w:r>
    </w:p>
    <w:p w14:paraId="20385C02" w14:textId="77777777" w:rsidR="00246A31" w:rsidRPr="00EB6BC8" w:rsidRDefault="00246A31" w:rsidP="00246A31">
      <w:pPr>
        <w:pStyle w:val="ListParagraph"/>
        <w:numPr>
          <w:ilvl w:val="1"/>
          <w:numId w:val="3"/>
        </w:numPr>
        <w:spacing w:after="0"/>
        <w:rPr>
          <w:rFonts w:ascii="Times New Roman" w:hAnsi="Times New Roman" w:cs="Times New Roman"/>
          <w:sz w:val="28"/>
          <w:szCs w:val="28"/>
        </w:rPr>
      </w:pPr>
      <w:r w:rsidRPr="00EB6BC8">
        <w:rPr>
          <w:rFonts w:ascii="Times New Roman" w:hAnsi="Times New Roman" w:cs="Times New Roman"/>
          <w:sz w:val="28"/>
          <w:szCs w:val="28"/>
        </w:rPr>
        <w:t>A brief in support of, or in opposition to, an applica</w:t>
      </w:r>
      <w:r w:rsidRPr="00EB6BC8">
        <w:rPr>
          <w:rFonts w:ascii="Times New Roman" w:hAnsi="Times New Roman" w:cs="Times New Roman"/>
          <w:sz w:val="28"/>
          <w:szCs w:val="28"/>
        </w:rPr>
        <w:softHyphen/>
        <w:t>tion for rehearing shall not exceed 3,000 words.</w:t>
      </w:r>
    </w:p>
    <w:p w14:paraId="2D2E73B2" w14:textId="77777777" w:rsidR="00246A31" w:rsidRPr="00EB6BC8" w:rsidRDefault="00246A31" w:rsidP="00246A31">
      <w:pPr>
        <w:pStyle w:val="ListParagraph"/>
        <w:numPr>
          <w:ilvl w:val="1"/>
          <w:numId w:val="3"/>
        </w:numPr>
        <w:spacing w:after="0"/>
        <w:rPr>
          <w:rFonts w:ascii="Times New Roman" w:hAnsi="Times New Roman" w:cs="Times New Roman"/>
          <w:sz w:val="28"/>
          <w:szCs w:val="28"/>
        </w:rPr>
      </w:pPr>
      <w:proofErr w:type="gramStart"/>
      <w:r w:rsidRPr="00EB6BC8">
        <w:rPr>
          <w:rFonts w:ascii="Times New Roman" w:hAnsi="Times New Roman" w:cs="Times New Roman"/>
          <w:sz w:val="28"/>
          <w:szCs w:val="28"/>
        </w:rPr>
        <w:t>Mandamus relief,</w:t>
      </w:r>
      <w:proofErr w:type="gramEnd"/>
      <w:r w:rsidRPr="00EB6BC8">
        <w:rPr>
          <w:rFonts w:ascii="Times New Roman" w:hAnsi="Times New Roman" w:cs="Times New Roman"/>
          <w:sz w:val="28"/>
          <w:szCs w:val="28"/>
        </w:rPr>
        <w:t xml:space="preserve"> are capped at 6,000 words. </w:t>
      </w:r>
    </w:p>
    <w:p w14:paraId="6A194BA1" w14:textId="77777777" w:rsidR="00246A31" w:rsidRPr="00EB6BC8" w:rsidRDefault="00246A31" w:rsidP="00246A31">
      <w:pPr>
        <w:pStyle w:val="ListParagraph"/>
        <w:numPr>
          <w:ilvl w:val="1"/>
          <w:numId w:val="3"/>
        </w:numPr>
        <w:spacing w:after="0"/>
        <w:rPr>
          <w:rFonts w:ascii="Times New Roman" w:hAnsi="Times New Roman" w:cs="Times New Roman"/>
          <w:sz w:val="28"/>
          <w:szCs w:val="28"/>
        </w:rPr>
      </w:pPr>
      <w:r w:rsidRPr="00EB6BC8">
        <w:rPr>
          <w:rFonts w:ascii="Times New Roman" w:hAnsi="Times New Roman" w:cs="Times New Roman"/>
          <w:sz w:val="28"/>
          <w:szCs w:val="28"/>
        </w:rPr>
        <w:lastRenderedPageBreak/>
        <w:t xml:space="preserve">If the court orders an answer to the writ, the answer and the brief, combined, shall not exceed 6,000 words.  </w:t>
      </w:r>
    </w:p>
    <w:p w14:paraId="677742C4" w14:textId="77777777" w:rsidR="00246A31" w:rsidRPr="00EB6BC8" w:rsidRDefault="00246A31" w:rsidP="00246A31">
      <w:pPr>
        <w:pStyle w:val="ListParagraph"/>
        <w:numPr>
          <w:ilvl w:val="1"/>
          <w:numId w:val="3"/>
        </w:numPr>
        <w:spacing w:after="0"/>
        <w:rPr>
          <w:rFonts w:ascii="Times New Roman" w:hAnsi="Times New Roman" w:cs="Times New Roman"/>
          <w:sz w:val="28"/>
          <w:szCs w:val="28"/>
        </w:rPr>
      </w:pPr>
      <w:r w:rsidRPr="00EB6BC8">
        <w:rPr>
          <w:rFonts w:ascii="Times New Roman" w:hAnsi="Times New Roman" w:cs="Times New Roman"/>
          <w:sz w:val="28"/>
          <w:szCs w:val="28"/>
        </w:rPr>
        <w:t>Motions and responses to motions are limited to 2,000 words.</w:t>
      </w:r>
    </w:p>
    <w:p w14:paraId="65494CE4" w14:textId="77777777" w:rsidR="00246A31" w:rsidRPr="00EB6BC8" w:rsidRDefault="00246A31" w:rsidP="00246A31">
      <w:pPr>
        <w:pStyle w:val="ListParagraph"/>
        <w:numPr>
          <w:ilvl w:val="1"/>
          <w:numId w:val="3"/>
        </w:numPr>
        <w:spacing w:after="0"/>
        <w:rPr>
          <w:rFonts w:ascii="Times New Roman" w:hAnsi="Times New Roman" w:cs="Times New Roman"/>
          <w:sz w:val="28"/>
          <w:szCs w:val="28"/>
        </w:rPr>
      </w:pPr>
      <w:r w:rsidRPr="00EB6BC8">
        <w:rPr>
          <w:rFonts w:ascii="Times New Roman" w:hAnsi="Times New Roman" w:cs="Times New Roman"/>
          <w:sz w:val="28"/>
          <w:szCs w:val="28"/>
        </w:rPr>
        <w:t>Every appellate brief, petition or mo</w:t>
      </w:r>
      <w:r w:rsidRPr="00EB6BC8">
        <w:rPr>
          <w:rFonts w:ascii="Times New Roman" w:hAnsi="Times New Roman" w:cs="Times New Roman"/>
          <w:sz w:val="28"/>
          <w:szCs w:val="28"/>
        </w:rPr>
        <w:softHyphen/>
        <w:t>tion must contain a “Certif</w:t>
      </w:r>
      <w:r w:rsidRPr="00EB6BC8">
        <w:rPr>
          <w:rFonts w:ascii="Times New Roman" w:hAnsi="Times New Roman" w:cs="Times New Roman"/>
          <w:sz w:val="28"/>
          <w:szCs w:val="28"/>
        </w:rPr>
        <w:softHyphen/>
        <w:t>icate of Compliance”. The certificate must state the number of words used in the document and the type and size of the font utilized.</w:t>
      </w:r>
    </w:p>
    <w:p w14:paraId="4817B20D" w14:textId="77777777" w:rsidR="00246A31" w:rsidRPr="00EB6BC8" w:rsidRDefault="00246A31" w:rsidP="00BE6102">
      <w:pPr>
        <w:spacing w:after="0"/>
        <w:rPr>
          <w:rFonts w:ascii="Times New Roman" w:hAnsi="Times New Roman" w:cs="Times New Roman"/>
          <w:sz w:val="28"/>
          <w:szCs w:val="28"/>
        </w:rPr>
      </w:pPr>
    </w:p>
    <w:p w14:paraId="501673CA" w14:textId="77777777" w:rsidR="00BD1E89" w:rsidRPr="00EB6BC8" w:rsidRDefault="00BD1E89" w:rsidP="00BE6102">
      <w:pPr>
        <w:spacing w:after="0"/>
        <w:rPr>
          <w:rFonts w:ascii="Times New Roman" w:hAnsi="Times New Roman" w:cs="Times New Roman"/>
          <w:b/>
          <w:sz w:val="28"/>
          <w:szCs w:val="28"/>
          <w:u w:val="single"/>
        </w:rPr>
      </w:pPr>
      <w:r w:rsidRPr="00EB6BC8">
        <w:rPr>
          <w:rFonts w:ascii="Times New Roman" w:hAnsi="Times New Roman" w:cs="Times New Roman"/>
          <w:b/>
          <w:sz w:val="28"/>
          <w:szCs w:val="28"/>
          <w:u w:val="single"/>
        </w:rPr>
        <w:t>Notable Appellate Decisions</w:t>
      </w:r>
    </w:p>
    <w:p w14:paraId="0864E8C6" w14:textId="77777777" w:rsidR="00DC2187" w:rsidRPr="00EB6BC8" w:rsidRDefault="00DC2187" w:rsidP="00DC2187">
      <w:pPr>
        <w:spacing w:after="0"/>
        <w:rPr>
          <w:rFonts w:ascii="Times New Roman" w:hAnsi="Times New Roman" w:cs="Times New Roman"/>
          <w:b/>
          <w:bCs/>
          <w:iCs/>
          <w:sz w:val="28"/>
          <w:szCs w:val="28"/>
        </w:rPr>
      </w:pPr>
    </w:p>
    <w:p w14:paraId="2242A5FC" w14:textId="77777777" w:rsidR="00DC2187" w:rsidRPr="00EB6BC8" w:rsidRDefault="00DC2187" w:rsidP="00DC2187">
      <w:pPr>
        <w:spacing w:after="0"/>
        <w:rPr>
          <w:rFonts w:ascii="Times New Roman" w:hAnsi="Times New Roman" w:cs="Times New Roman"/>
          <w:b/>
          <w:bCs/>
          <w:i/>
          <w:iCs/>
          <w:sz w:val="28"/>
          <w:szCs w:val="28"/>
        </w:rPr>
      </w:pPr>
      <w:r w:rsidRPr="00EB6BC8">
        <w:rPr>
          <w:rFonts w:ascii="Times New Roman" w:hAnsi="Times New Roman" w:cs="Times New Roman"/>
          <w:b/>
          <w:bCs/>
          <w:iCs/>
          <w:sz w:val="28"/>
          <w:szCs w:val="28"/>
        </w:rPr>
        <w:t>Default Judgment—</w:t>
      </w:r>
      <w:r w:rsidRPr="00EB6BC8">
        <w:rPr>
          <w:rFonts w:ascii="Times New Roman" w:hAnsi="Times New Roman" w:cs="Times New Roman"/>
          <w:b/>
          <w:bCs/>
          <w:i/>
          <w:iCs/>
          <w:sz w:val="28"/>
          <w:szCs w:val="28"/>
        </w:rPr>
        <w:t xml:space="preserve">Ex </w:t>
      </w:r>
      <w:proofErr w:type="spellStart"/>
      <w:r w:rsidRPr="00EB6BC8">
        <w:rPr>
          <w:rFonts w:ascii="Times New Roman" w:hAnsi="Times New Roman" w:cs="Times New Roman"/>
          <w:b/>
          <w:bCs/>
          <w:i/>
          <w:iCs/>
          <w:sz w:val="28"/>
          <w:szCs w:val="28"/>
        </w:rPr>
        <w:t>parte</w:t>
      </w:r>
      <w:proofErr w:type="spellEnd"/>
      <w:r w:rsidRPr="00EB6BC8">
        <w:rPr>
          <w:rFonts w:ascii="Times New Roman" w:hAnsi="Times New Roman" w:cs="Times New Roman"/>
          <w:b/>
          <w:bCs/>
          <w:i/>
          <w:iCs/>
          <w:sz w:val="28"/>
          <w:szCs w:val="28"/>
        </w:rPr>
        <w:t xml:space="preserve"> </w:t>
      </w:r>
      <w:proofErr w:type="spellStart"/>
      <w:r w:rsidRPr="00EB6BC8">
        <w:rPr>
          <w:rFonts w:ascii="Times New Roman" w:hAnsi="Times New Roman" w:cs="Times New Roman"/>
          <w:b/>
          <w:bCs/>
          <w:i/>
          <w:iCs/>
          <w:sz w:val="28"/>
          <w:szCs w:val="28"/>
        </w:rPr>
        <w:t>Bhones</w:t>
      </w:r>
      <w:proofErr w:type="spellEnd"/>
      <w:r w:rsidRPr="00EB6BC8">
        <w:rPr>
          <w:rFonts w:ascii="Times New Roman" w:hAnsi="Times New Roman" w:cs="Times New Roman"/>
          <w:b/>
          <w:bCs/>
          <w:sz w:val="28"/>
          <w:szCs w:val="28"/>
        </w:rPr>
        <w:t xml:space="preserve">, 285 So. 3d 740 (Ala. 2019) </w:t>
      </w:r>
    </w:p>
    <w:p w14:paraId="71E674E8" w14:textId="77777777" w:rsidR="00DC2187" w:rsidRPr="00EB6BC8" w:rsidRDefault="00DC2187" w:rsidP="00DC2187">
      <w:pPr>
        <w:spacing w:after="0"/>
        <w:jc w:val="both"/>
        <w:rPr>
          <w:rFonts w:ascii="Times New Roman" w:hAnsi="Times New Roman" w:cs="Times New Roman"/>
          <w:sz w:val="28"/>
          <w:szCs w:val="28"/>
        </w:rPr>
      </w:pPr>
    </w:p>
    <w:p w14:paraId="311FE99C"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In February 2015, Alvin and Diane </w:t>
      </w:r>
      <w:proofErr w:type="spellStart"/>
      <w:r w:rsidRPr="00EB6BC8">
        <w:rPr>
          <w:rFonts w:ascii="Times New Roman" w:hAnsi="Times New Roman" w:cs="Times New Roman"/>
          <w:sz w:val="28"/>
          <w:szCs w:val="28"/>
        </w:rPr>
        <w:t>Bhones</w:t>
      </w:r>
      <w:proofErr w:type="spellEnd"/>
      <w:r w:rsidRPr="00EB6BC8">
        <w:rPr>
          <w:rFonts w:ascii="Times New Roman" w:hAnsi="Times New Roman" w:cs="Times New Roman"/>
          <w:sz w:val="28"/>
          <w:szCs w:val="28"/>
        </w:rPr>
        <w:t xml:space="preserve"> sued Beech Brook Com</w:t>
      </w:r>
      <w:r w:rsidRPr="00EB6BC8">
        <w:rPr>
          <w:rFonts w:ascii="Times New Roman" w:hAnsi="Times New Roman" w:cs="Times New Roman"/>
          <w:sz w:val="28"/>
          <w:szCs w:val="28"/>
        </w:rPr>
        <w:softHyphen/>
        <w:t xml:space="preserve">panies, LLC, and Travis Peete, the sole member of Beech Brook </w:t>
      </w:r>
      <w:r w:rsidR="00DD5D18">
        <w:rPr>
          <w:rFonts w:ascii="Times New Roman" w:hAnsi="Times New Roman" w:cs="Times New Roman"/>
          <w:sz w:val="28"/>
          <w:szCs w:val="28"/>
        </w:rPr>
        <w:t xml:space="preserve">alleging </w:t>
      </w:r>
      <w:r w:rsidRPr="00EB6BC8">
        <w:rPr>
          <w:rFonts w:ascii="Times New Roman" w:hAnsi="Times New Roman" w:cs="Times New Roman"/>
          <w:sz w:val="28"/>
          <w:szCs w:val="28"/>
        </w:rPr>
        <w:t xml:space="preserve">defective construction of the </w:t>
      </w:r>
      <w:proofErr w:type="spellStart"/>
      <w:r w:rsidRPr="00EB6BC8">
        <w:rPr>
          <w:rFonts w:ascii="Times New Roman" w:hAnsi="Times New Roman" w:cs="Times New Roman"/>
          <w:sz w:val="28"/>
          <w:szCs w:val="28"/>
        </w:rPr>
        <w:t>Bhoneses</w:t>
      </w:r>
      <w:proofErr w:type="spellEnd"/>
      <w:r w:rsidRPr="00EB6BC8">
        <w:rPr>
          <w:rFonts w:ascii="Times New Roman" w:hAnsi="Times New Roman" w:cs="Times New Roman"/>
          <w:sz w:val="28"/>
          <w:szCs w:val="28"/>
        </w:rPr>
        <w:t xml:space="preserve">’ new home. The defendants were served but did not file an answer. The trial court entered a default judgment against the </w:t>
      </w:r>
      <w:r w:rsidR="00DD5D18">
        <w:rPr>
          <w:rFonts w:ascii="Times New Roman" w:hAnsi="Times New Roman" w:cs="Times New Roman"/>
          <w:sz w:val="28"/>
          <w:szCs w:val="28"/>
        </w:rPr>
        <w:t>d</w:t>
      </w:r>
      <w:r w:rsidRPr="00EB6BC8">
        <w:rPr>
          <w:rFonts w:ascii="Times New Roman" w:hAnsi="Times New Roman" w:cs="Times New Roman"/>
          <w:sz w:val="28"/>
          <w:szCs w:val="28"/>
        </w:rPr>
        <w:t xml:space="preserve">efendants. The </w:t>
      </w:r>
      <w:r w:rsidR="00DD5D18">
        <w:rPr>
          <w:rFonts w:ascii="Times New Roman" w:hAnsi="Times New Roman" w:cs="Times New Roman"/>
          <w:sz w:val="28"/>
          <w:szCs w:val="28"/>
        </w:rPr>
        <w:t>d</w:t>
      </w:r>
      <w:r w:rsidRPr="00EB6BC8">
        <w:rPr>
          <w:rFonts w:ascii="Times New Roman" w:hAnsi="Times New Roman" w:cs="Times New Roman"/>
          <w:sz w:val="28"/>
          <w:szCs w:val="28"/>
        </w:rPr>
        <w:t xml:space="preserve">efendants filed a motion to set aside the default judgment pursuant to Rule 60 (b) (1) and (6), Ala. R. Civ. P. </w:t>
      </w:r>
      <w:r w:rsidR="00DD5D18">
        <w:rPr>
          <w:rFonts w:ascii="Times New Roman" w:hAnsi="Times New Roman" w:cs="Times New Roman"/>
          <w:sz w:val="28"/>
          <w:szCs w:val="28"/>
        </w:rPr>
        <w:t>and t</w:t>
      </w:r>
      <w:r w:rsidRPr="00EB6BC8">
        <w:rPr>
          <w:rFonts w:ascii="Times New Roman" w:hAnsi="Times New Roman" w:cs="Times New Roman"/>
          <w:sz w:val="28"/>
          <w:szCs w:val="28"/>
        </w:rPr>
        <w:t xml:space="preserve">he trial court entered an order setting aside the default judgment. The </w:t>
      </w:r>
      <w:proofErr w:type="spellStart"/>
      <w:r w:rsidRPr="00EB6BC8">
        <w:rPr>
          <w:rFonts w:ascii="Times New Roman" w:hAnsi="Times New Roman" w:cs="Times New Roman"/>
          <w:sz w:val="28"/>
          <w:szCs w:val="28"/>
        </w:rPr>
        <w:t>Bhones</w:t>
      </w:r>
      <w:proofErr w:type="spellEnd"/>
      <w:r w:rsidRPr="00EB6BC8">
        <w:rPr>
          <w:rFonts w:ascii="Times New Roman" w:hAnsi="Times New Roman" w:cs="Times New Roman"/>
          <w:sz w:val="28"/>
          <w:szCs w:val="28"/>
        </w:rPr>
        <w:t xml:space="preserve"> petitioned for a writ of mandamus. </w:t>
      </w:r>
    </w:p>
    <w:p w14:paraId="3051CCEE" w14:textId="77777777" w:rsidR="00DC2187" w:rsidRPr="00EB6BC8" w:rsidRDefault="00DC2187" w:rsidP="00DC2187">
      <w:pPr>
        <w:spacing w:after="0"/>
        <w:jc w:val="both"/>
        <w:rPr>
          <w:rFonts w:ascii="Times New Roman" w:hAnsi="Times New Roman" w:cs="Times New Roman"/>
          <w:sz w:val="28"/>
          <w:szCs w:val="28"/>
        </w:rPr>
      </w:pPr>
    </w:p>
    <w:p w14:paraId="4D2F9656"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Court explained that in considering whether to grant a Rule 60(b)(1) motion to set aside a default judg</w:t>
      </w:r>
      <w:r w:rsidRPr="00EB6BC8">
        <w:rPr>
          <w:rFonts w:ascii="Times New Roman" w:hAnsi="Times New Roman" w:cs="Times New Roman"/>
          <w:sz w:val="28"/>
          <w:szCs w:val="28"/>
        </w:rPr>
        <w:softHyphen/>
        <w:t xml:space="preserve">ment, a trial court must consider whether the defendant has established excusable neglect, and also consider the factors set out in </w:t>
      </w:r>
      <w:r w:rsidRPr="00EB6BC8">
        <w:rPr>
          <w:rFonts w:ascii="Times New Roman" w:hAnsi="Times New Roman" w:cs="Times New Roman"/>
          <w:i/>
          <w:iCs/>
          <w:sz w:val="28"/>
          <w:szCs w:val="28"/>
        </w:rPr>
        <w:t>Kirtland v. Fort Mor</w:t>
      </w:r>
      <w:r w:rsidRPr="00EB6BC8">
        <w:rPr>
          <w:rFonts w:ascii="Times New Roman" w:hAnsi="Times New Roman" w:cs="Times New Roman"/>
          <w:i/>
          <w:iCs/>
          <w:sz w:val="28"/>
          <w:szCs w:val="28"/>
        </w:rPr>
        <w:softHyphen/>
        <w:t>gan Authority Sewer Service, Inc.</w:t>
      </w:r>
      <w:r w:rsidRPr="00EB6BC8">
        <w:rPr>
          <w:rFonts w:ascii="Times New Roman" w:hAnsi="Times New Roman" w:cs="Times New Roman"/>
          <w:sz w:val="28"/>
          <w:szCs w:val="28"/>
        </w:rPr>
        <w:t xml:space="preserve">, 524 So. 2d 600 (Ala. 1988): 1) whether the defendant has a meritorious defense; 2) whether the plaintiff will be unfairly prejudiced; and 3) whether the default judgment was a result of the defendant’s own culpable conduct. Here, the </w:t>
      </w:r>
      <w:r w:rsidR="00DD5D18">
        <w:rPr>
          <w:rFonts w:ascii="Times New Roman" w:hAnsi="Times New Roman" w:cs="Times New Roman"/>
          <w:sz w:val="28"/>
          <w:szCs w:val="28"/>
        </w:rPr>
        <w:t>d</w:t>
      </w:r>
      <w:r w:rsidRPr="00EB6BC8">
        <w:rPr>
          <w:rFonts w:ascii="Times New Roman" w:hAnsi="Times New Roman" w:cs="Times New Roman"/>
          <w:sz w:val="28"/>
          <w:szCs w:val="28"/>
        </w:rPr>
        <w:t xml:space="preserve">efendants did not present evidence of a meritorious defense or that the </w:t>
      </w:r>
      <w:proofErr w:type="spellStart"/>
      <w:r w:rsidRPr="00EB6BC8">
        <w:rPr>
          <w:rFonts w:ascii="Times New Roman" w:hAnsi="Times New Roman" w:cs="Times New Roman"/>
          <w:sz w:val="28"/>
          <w:szCs w:val="28"/>
        </w:rPr>
        <w:t>Bhoneses</w:t>
      </w:r>
      <w:proofErr w:type="spellEnd"/>
      <w:r w:rsidRPr="00EB6BC8">
        <w:rPr>
          <w:rFonts w:ascii="Times New Roman" w:hAnsi="Times New Roman" w:cs="Times New Roman"/>
          <w:sz w:val="28"/>
          <w:szCs w:val="28"/>
        </w:rPr>
        <w:t xml:space="preserve"> would not be unduly prejudiced if their default judg</w:t>
      </w:r>
      <w:r w:rsidRPr="00EB6BC8">
        <w:rPr>
          <w:rFonts w:ascii="Times New Roman" w:hAnsi="Times New Roman" w:cs="Times New Roman"/>
          <w:sz w:val="28"/>
          <w:szCs w:val="28"/>
        </w:rPr>
        <w:softHyphen/>
        <w:t xml:space="preserve">ment was set aside. </w:t>
      </w:r>
      <w:r w:rsidRPr="00A56509">
        <w:rPr>
          <w:rFonts w:ascii="Times New Roman" w:hAnsi="Times New Roman" w:cs="Times New Roman"/>
          <w:sz w:val="28"/>
          <w:szCs w:val="28"/>
        </w:rPr>
        <w:t xml:space="preserve">The </w:t>
      </w:r>
      <w:r w:rsidR="00DD5D18" w:rsidRPr="00A56509">
        <w:rPr>
          <w:rFonts w:ascii="Times New Roman" w:hAnsi="Times New Roman" w:cs="Times New Roman"/>
          <w:sz w:val="28"/>
          <w:szCs w:val="28"/>
        </w:rPr>
        <w:t>Ala</w:t>
      </w:r>
      <w:r w:rsidR="0093359A" w:rsidRPr="00A56509">
        <w:rPr>
          <w:rFonts w:ascii="Times New Roman" w:hAnsi="Times New Roman" w:cs="Times New Roman"/>
          <w:sz w:val="28"/>
          <w:szCs w:val="28"/>
        </w:rPr>
        <w:t>bama</w:t>
      </w:r>
      <w:r w:rsidR="00DD5D18" w:rsidRPr="00A56509">
        <w:rPr>
          <w:rFonts w:ascii="Times New Roman" w:hAnsi="Times New Roman" w:cs="Times New Roman"/>
          <w:sz w:val="28"/>
          <w:szCs w:val="28"/>
        </w:rPr>
        <w:t xml:space="preserve"> S</w:t>
      </w:r>
      <w:r w:rsidR="0093359A" w:rsidRPr="00A56509">
        <w:rPr>
          <w:rFonts w:ascii="Times New Roman" w:hAnsi="Times New Roman" w:cs="Times New Roman"/>
          <w:sz w:val="28"/>
          <w:szCs w:val="28"/>
        </w:rPr>
        <w:t>upreme</w:t>
      </w:r>
      <w:r w:rsidR="00DD5D18" w:rsidRPr="00A56509">
        <w:rPr>
          <w:rFonts w:ascii="Times New Roman" w:hAnsi="Times New Roman" w:cs="Times New Roman"/>
          <w:sz w:val="28"/>
          <w:szCs w:val="28"/>
        </w:rPr>
        <w:t xml:space="preserve"> C</w:t>
      </w:r>
      <w:r w:rsidR="0093359A" w:rsidRPr="00A56509">
        <w:rPr>
          <w:rFonts w:ascii="Times New Roman" w:hAnsi="Times New Roman" w:cs="Times New Roman"/>
          <w:sz w:val="28"/>
          <w:szCs w:val="28"/>
        </w:rPr>
        <w:t>our</w:t>
      </w:r>
      <w:r w:rsidR="00DD5D18" w:rsidRPr="00A56509">
        <w:rPr>
          <w:rFonts w:ascii="Times New Roman" w:hAnsi="Times New Roman" w:cs="Times New Roman"/>
          <w:sz w:val="28"/>
          <w:szCs w:val="28"/>
        </w:rPr>
        <w:t>t held the defendants</w:t>
      </w:r>
      <w:r w:rsidRPr="00A56509">
        <w:rPr>
          <w:rFonts w:ascii="Times New Roman" w:hAnsi="Times New Roman" w:cs="Times New Roman"/>
          <w:sz w:val="28"/>
          <w:szCs w:val="28"/>
        </w:rPr>
        <w:t xml:space="preserve"> were not entitled to have the default judgment set aside.</w:t>
      </w:r>
    </w:p>
    <w:p w14:paraId="35A72CD9" w14:textId="77777777" w:rsidR="00DC2187" w:rsidRPr="00EB6BC8" w:rsidRDefault="00DC2187" w:rsidP="00DC2187">
      <w:pPr>
        <w:spacing w:after="0"/>
        <w:jc w:val="both"/>
        <w:rPr>
          <w:rFonts w:ascii="Times New Roman" w:hAnsi="Times New Roman" w:cs="Times New Roman"/>
          <w:b/>
          <w:bCs/>
          <w:iCs/>
          <w:sz w:val="28"/>
          <w:szCs w:val="28"/>
        </w:rPr>
      </w:pPr>
    </w:p>
    <w:p w14:paraId="69703EDF" w14:textId="77777777" w:rsidR="00E8294B" w:rsidRDefault="00E8294B" w:rsidP="0040685D">
      <w:pPr>
        <w:spacing w:after="0"/>
        <w:jc w:val="both"/>
        <w:rPr>
          <w:rFonts w:ascii="Times New Roman" w:hAnsi="Times New Roman" w:cs="Times New Roman"/>
          <w:b/>
          <w:bCs/>
          <w:iCs/>
          <w:sz w:val="28"/>
          <w:szCs w:val="28"/>
        </w:rPr>
      </w:pPr>
    </w:p>
    <w:p w14:paraId="1228DA24" w14:textId="77777777" w:rsidR="00E8294B" w:rsidRDefault="00E8294B" w:rsidP="0040685D">
      <w:pPr>
        <w:spacing w:after="0"/>
        <w:jc w:val="both"/>
        <w:rPr>
          <w:rFonts w:ascii="Times New Roman" w:hAnsi="Times New Roman" w:cs="Times New Roman"/>
          <w:b/>
          <w:bCs/>
          <w:iCs/>
          <w:sz w:val="28"/>
          <w:szCs w:val="28"/>
        </w:rPr>
      </w:pPr>
    </w:p>
    <w:p w14:paraId="4445447C" w14:textId="77777777" w:rsidR="00E8294B" w:rsidRDefault="00E8294B" w:rsidP="0040685D">
      <w:pPr>
        <w:spacing w:after="0"/>
        <w:jc w:val="both"/>
        <w:rPr>
          <w:rFonts w:ascii="Times New Roman" w:hAnsi="Times New Roman" w:cs="Times New Roman"/>
          <w:b/>
          <w:bCs/>
          <w:iCs/>
          <w:sz w:val="28"/>
          <w:szCs w:val="28"/>
        </w:rPr>
      </w:pPr>
    </w:p>
    <w:p w14:paraId="306125BC" w14:textId="77777777" w:rsidR="00E8294B" w:rsidRDefault="00E8294B" w:rsidP="0040685D">
      <w:pPr>
        <w:spacing w:after="0"/>
        <w:jc w:val="both"/>
        <w:rPr>
          <w:rFonts w:ascii="Times New Roman" w:hAnsi="Times New Roman" w:cs="Times New Roman"/>
          <w:b/>
          <w:bCs/>
          <w:iCs/>
          <w:sz w:val="28"/>
          <w:szCs w:val="28"/>
        </w:rPr>
      </w:pPr>
    </w:p>
    <w:p w14:paraId="19F16B3A" w14:textId="77777777" w:rsidR="0040685D" w:rsidRPr="00EB6BC8" w:rsidRDefault="0040685D" w:rsidP="0040685D">
      <w:pPr>
        <w:spacing w:after="0"/>
        <w:jc w:val="both"/>
        <w:rPr>
          <w:rFonts w:ascii="Times New Roman" w:hAnsi="Times New Roman" w:cs="Times New Roman"/>
          <w:b/>
          <w:bCs/>
          <w:iCs/>
          <w:sz w:val="28"/>
          <w:szCs w:val="28"/>
        </w:rPr>
      </w:pPr>
      <w:r w:rsidRPr="00EB6BC8">
        <w:rPr>
          <w:rFonts w:ascii="Times New Roman" w:hAnsi="Times New Roman" w:cs="Times New Roman"/>
          <w:b/>
          <w:bCs/>
          <w:iCs/>
          <w:sz w:val="28"/>
          <w:szCs w:val="28"/>
        </w:rPr>
        <w:t>Notice of Appearance—</w:t>
      </w:r>
      <w:r w:rsidRPr="00EB6BC8">
        <w:rPr>
          <w:rFonts w:ascii="Times New Roman" w:hAnsi="Times New Roman" w:cs="Times New Roman"/>
          <w:b/>
          <w:bCs/>
          <w:i/>
          <w:iCs/>
          <w:sz w:val="28"/>
          <w:szCs w:val="28"/>
        </w:rPr>
        <w:t>Ex parte Dunbar</w:t>
      </w:r>
      <w:r w:rsidRPr="00EB6BC8">
        <w:rPr>
          <w:rFonts w:ascii="Times New Roman" w:hAnsi="Times New Roman" w:cs="Times New Roman"/>
          <w:b/>
          <w:bCs/>
          <w:sz w:val="28"/>
          <w:szCs w:val="28"/>
        </w:rPr>
        <w:t xml:space="preserve">, 281 So. 3d 444 (Ala. Civ. App. 2019) </w:t>
      </w:r>
    </w:p>
    <w:p w14:paraId="5DAB3FF3" w14:textId="77777777" w:rsidR="0040685D" w:rsidRPr="00EB6BC8" w:rsidRDefault="0040685D" w:rsidP="0040685D">
      <w:pPr>
        <w:spacing w:after="0"/>
        <w:jc w:val="both"/>
        <w:rPr>
          <w:rFonts w:ascii="Times New Roman" w:hAnsi="Times New Roman" w:cs="Times New Roman"/>
          <w:sz w:val="28"/>
          <w:szCs w:val="28"/>
        </w:rPr>
      </w:pPr>
    </w:p>
    <w:p w14:paraId="0DC129BE" w14:textId="77777777" w:rsidR="0040685D" w:rsidRPr="00EB6BC8" w:rsidRDefault="0040685D" w:rsidP="0040685D">
      <w:pPr>
        <w:spacing w:after="0"/>
        <w:jc w:val="both"/>
        <w:rPr>
          <w:rFonts w:ascii="Times New Roman" w:hAnsi="Times New Roman" w:cs="Times New Roman"/>
          <w:sz w:val="28"/>
          <w:szCs w:val="28"/>
        </w:rPr>
      </w:pPr>
      <w:r w:rsidRPr="00EB6BC8">
        <w:rPr>
          <w:rFonts w:ascii="Times New Roman" w:hAnsi="Times New Roman" w:cs="Times New Roman"/>
          <w:sz w:val="28"/>
          <w:szCs w:val="28"/>
        </w:rPr>
        <w:lastRenderedPageBreak/>
        <w:tab/>
        <w:t xml:space="preserve">A notice of appearance by an attorney on behalf of his or her client constitutes a “waiver of service of process.” </w:t>
      </w:r>
      <w:r w:rsidR="00C55A6E">
        <w:rPr>
          <w:rFonts w:ascii="Times New Roman" w:hAnsi="Times New Roman" w:cs="Times New Roman"/>
          <w:sz w:val="28"/>
          <w:szCs w:val="28"/>
        </w:rPr>
        <w:t>An</w:t>
      </w:r>
      <w:r w:rsidRPr="00EB6BC8">
        <w:rPr>
          <w:rFonts w:ascii="Times New Roman" w:hAnsi="Times New Roman" w:cs="Times New Roman"/>
          <w:sz w:val="28"/>
          <w:szCs w:val="28"/>
        </w:rPr>
        <w:t xml:space="preserve"> amendment of </w:t>
      </w:r>
      <w:r w:rsidR="00C55A6E">
        <w:rPr>
          <w:rFonts w:ascii="Times New Roman" w:hAnsi="Times New Roman" w:cs="Times New Roman"/>
          <w:sz w:val="28"/>
          <w:szCs w:val="28"/>
        </w:rPr>
        <w:t>a</w:t>
      </w:r>
      <w:r w:rsidRPr="00EB6BC8">
        <w:rPr>
          <w:rFonts w:ascii="Times New Roman" w:hAnsi="Times New Roman" w:cs="Times New Roman"/>
          <w:sz w:val="28"/>
          <w:szCs w:val="28"/>
        </w:rPr>
        <w:t xml:space="preserve"> general notice of appearance </w:t>
      </w:r>
      <w:r w:rsidR="00C55A6E">
        <w:rPr>
          <w:rFonts w:ascii="Times New Roman" w:hAnsi="Times New Roman" w:cs="Times New Roman"/>
          <w:sz w:val="28"/>
          <w:szCs w:val="28"/>
        </w:rPr>
        <w:t>does</w:t>
      </w:r>
      <w:r w:rsidRPr="00EB6BC8">
        <w:rPr>
          <w:rFonts w:ascii="Times New Roman" w:hAnsi="Times New Roman" w:cs="Times New Roman"/>
          <w:sz w:val="28"/>
          <w:szCs w:val="28"/>
        </w:rPr>
        <w:t xml:space="preserve"> not alter the fact that a general notice had already been filed. </w:t>
      </w:r>
    </w:p>
    <w:p w14:paraId="466B170B" w14:textId="77777777" w:rsidR="00A15DA3" w:rsidRPr="00EB6BC8" w:rsidRDefault="00A15DA3" w:rsidP="00BE6102">
      <w:pPr>
        <w:spacing w:after="0"/>
        <w:jc w:val="both"/>
        <w:rPr>
          <w:rFonts w:ascii="Times New Roman" w:hAnsi="Times New Roman" w:cs="Times New Roman"/>
          <w:b/>
          <w:bCs/>
          <w:iCs/>
          <w:sz w:val="28"/>
          <w:szCs w:val="28"/>
        </w:rPr>
      </w:pPr>
    </w:p>
    <w:p w14:paraId="155FE39B" w14:textId="77777777" w:rsidR="0040685D" w:rsidRPr="00EB6BC8" w:rsidRDefault="0040685D" w:rsidP="0040685D">
      <w:pPr>
        <w:spacing w:after="0"/>
        <w:rPr>
          <w:rFonts w:ascii="Times New Roman" w:hAnsi="Times New Roman" w:cs="Times New Roman"/>
          <w:b/>
          <w:bCs/>
          <w:i/>
          <w:iCs/>
          <w:sz w:val="28"/>
          <w:szCs w:val="28"/>
        </w:rPr>
      </w:pPr>
      <w:r w:rsidRPr="00EB6BC8">
        <w:rPr>
          <w:rFonts w:ascii="Times New Roman" w:hAnsi="Times New Roman" w:cs="Times New Roman"/>
          <w:b/>
          <w:bCs/>
          <w:iCs/>
          <w:sz w:val="28"/>
          <w:szCs w:val="28"/>
        </w:rPr>
        <w:t>Deceased Party—</w:t>
      </w:r>
      <w:r w:rsidRPr="00EB6BC8">
        <w:rPr>
          <w:rFonts w:ascii="Times New Roman" w:hAnsi="Times New Roman" w:cs="Times New Roman"/>
          <w:b/>
          <w:bCs/>
          <w:i/>
          <w:iCs/>
          <w:sz w:val="28"/>
          <w:szCs w:val="28"/>
        </w:rPr>
        <w:t>Kelton v. Caldwell</w:t>
      </w:r>
      <w:r w:rsidRPr="00EB6BC8">
        <w:rPr>
          <w:rFonts w:ascii="Times New Roman" w:hAnsi="Times New Roman" w:cs="Times New Roman"/>
          <w:b/>
          <w:bCs/>
          <w:sz w:val="28"/>
          <w:szCs w:val="28"/>
        </w:rPr>
        <w:t xml:space="preserve">, 280 So. 3d 1062 (Ala. Civ. App. 2019) </w:t>
      </w:r>
    </w:p>
    <w:p w14:paraId="1AAB6649" w14:textId="77777777" w:rsidR="0040685D" w:rsidRPr="00EB6BC8" w:rsidRDefault="0040685D" w:rsidP="0040685D">
      <w:pPr>
        <w:spacing w:after="0"/>
        <w:jc w:val="both"/>
        <w:rPr>
          <w:rFonts w:ascii="Times New Roman" w:hAnsi="Times New Roman" w:cs="Times New Roman"/>
          <w:sz w:val="28"/>
          <w:szCs w:val="28"/>
        </w:rPr>
      </w:pPr>
    </w:p>
    <w:p w14:paraId="3C7FC21B" w14:textId="77777777" w:rsidR="0040685D" w:rsidRPr="00EB6BC8" w:rsidRDefault="0040685D" w:rsidP="0040685D">
      <w:pPr>
        <w:spacing w:after="0"/>
        <w:jc w:val="both"/>
        <w:rPr>
          <w:rFonts w:ascii="Times New Roman" w:hAnsi="Times New Roman" w:cs="Times New Roman"/>
          <w:sz w:val="28"/>
          <w:szCs w:val="28"/>
        </w:rPr>
      </w:pPr>
      <w:r w:rsidRPr="00EB6BC8">
        <w:rPr>
          <w:rFonts w:ascii="Times New Roman" w:hAnsi="Times New Roman" w:cs="Times New Roman"/>
          <w:sz w:val="28"/>
          <w:szCs w:val="28"/>
        </w:rPr>
        <w:tab/>
        <w:t>An action filed against an individual who is deceased at the time the action is filed is a nullity. The trial court’s judgment is void. An appeal from a void judgment is due to be dismissed.</w:t>
      </w:r>
    </w:p>
    <w:p w14:paraId="0C465982" w14:textId="77777777" w:rsidR="00A15DA3" w:rsidRPr="00EB6BC8" w:rsidRDefault="00A15DA3" w:rsidP="00BE6102">
      <w:pPr>
        <w:spacing w:after="0"/>
        <w:jc w:val="both"/>
        <w:rPr>
          <w:rFonts w:ascii="Times New Roman" w:hAnsi="Times New Roman" w:cs="Times New Roman"/>
          <w:b/>
          <w:bCs/>
          <w:iCs/>
          <w:sz w:val="28"/>
          <w:szCs w:val="28"/>
        </w:rPr>
      </w:pPr>
    </w:p>
    <w:p w14:paraId="01E47F96" w14:textId="77777777" w:rsidR="00E07BA3" w:rsidRPr="00EB6BC8" w:rsidRDefault="00E07BA3" w:rsidP="00E07BA3">
      <w:pPr>
        <w:spacing w:after="0"/>
        <w:jc w:val="both"/>
        <w:rPr>
          <w:rFonts w:ascii="Times New Roman" w:hAnsi="Times New Roman" w:cs="Times New Roman"/>
          <w:b/>
          <w:bCs/>
          <w:sz w:val="28"/>
          <w:szCs w:val="28"/>
        </w:rPr>
      </w:pPr>
      <w:r w:rsidRPr="00EB6BC8">
        <w:rPr>
          <w:rFonts w:ascii="Times New Roman" w:hAnsi="Times New Roman" w:cs="Times New Roman"/>
          <w:b/>
          <w:bCs/>
          <w:sz w:val="28"/>
          <w:szCs w:val="28"/>
        </w:rPr>
        <w:t>Fictitious party practice—</w:t>
      </w:r>
      <w:r w:rsidRPr="00A56509">
        <w:rPr>
          <w:rFonts w:ascii="Times New Roman" w:hAnsi="Times New Roman" w:cs="Times New Roman"/>
          <w:b/>
          <w:bCs/>
          <w:i/>
          <w:iCs/>
          <w:sz w:val="28"/>
          <w:szCs w:val="28"/>
        </w:rPr>
        <w:t xml:space="preserve">Ex </w:t>
      </w:r>
      <w:proofErr w:type="spellStart"/>
      <w:r w:rsidRPr="00A56509">
        <w:rPr>
          <w:rFonts w:ascii="Times New Roman" w:hAnsi="Times New Roman" w:cs="Times New Roman"/>
          <w:b/>
          <w:bCs/>
          <w:i/>
          <w:iCs/>
          <w:sz w:val="28"/>
          <w:szCs w:val="28"/>
        </w:rPr>
        <w:t>parte</w:t>
      </w:r>
      <w:proofErr w:type="spellEnd"/>
      <w:r w:rsidRPr="00A56509">
        <w:rPr>
          <w:rFonts w:ascii="Times New Roman" w:hAnsi="Times New Roman" w:cs="Times New Roman"/>
          <w:b/>
          <w:bCs/>
          <w:i/>
          <w:iCs/>
          <w:sz w:val="28"/>
          <w:szCs w:val="28"/>
        </w:rPr>
        <w:t xml:space="preserve"> </w:t>
      </w:r>
      <w:proofErr w:type="spellStart"/>
      <w:r w:rsidRPr="00A56509">
        <w:rPr>
          <w:rFonts w:ascii="Times New Roman" w:hAnsi="Times New Roman" w:cs="Times New Roman"/>
          <w:b/>
          <w:bCs/>
          <w:i/>
          <w:iCs/>
          <w:sz w:val="28"/>
          <w:szCs w:val="28"/>
        </w:rPr>
        <w:t>Freudenberger</w:t>
      </w:r>
      <w:proofErr w:type="spellEnd"/>
      <w:r w:rsidRPr="00EB6BC8">
        <w:rPr>
          <w:rFonts w:ascii="Times New Roman" w:hAnsi="Times New Roman" w:cs="Times New Roman"/>
          <w:b/>
          <w:bCs/>
          <w:sz w:val="28"/>
          <w:szCs w:val="28"/>
        </w:rPr>
        <w:t>, 2020 WL 3526361 (Ala. June 30, 2020)</w:t>
      </w:r>
    </w:p>
    <w:p w14:paraId="35FF492D" w14:textId="77777777" w:rsidR="00E07BA3" w:rsidRPr="00EB6BC8" w:rsidRDefault="00E07BA3" w:rsidP="00E07BA3">
      <w:pPr>
        <w:spacing w:after="0"/>
        <w:jc w:val="both"/>
        <w:rPr>
          <w:rFonts w:ascii="Times New Roman" w:hAnsi="Times New Roman" w:cs="Times New Roman"/>
          <w:b/>
          <w:bCs/>
          <w:sz w:val="28"/>
          <w:szCs w:val="28"/>
        </w:rPr>
      </w:pPr>
    </w:p>
    <w:p w14:paraId="1DA71938" w14:textId="77777777" w:rsidR="00E07BA3" w:rsidRPr="00EB6BC8" w:rsidRDefault="00E07BA3" w:rsidP="00E07BA3">
      <w:pPr>
        <w:spacing w:after="0"/>
        <w:jc w:val="both"/>
        <w:rPr>
          <w:rFonts w:ascii="Times New Roman" w:hAnsi="Times New Roman" w:cs="Times New Roman"/>
          <w:bCs/>
          <w:sz w:val="28"/>
          <w:szCs w:val="28"/>
        </w:rPr>
      </w:pPr>
      <w:r w:rsidRPr="00EB6BC8">
        <w:rPr>
          <w:rFonts w:ascii="Times New Roman" w:hAnsi="Times New Roman" w:cs="Times New Roman"/>
          <w:bCs/>
          <w:sz w:val="28"/>
          <w:szCs w:val="28"/>
        </w:rPr>
        <w:tab/>
        <w:t xml:space="preserve">The personal representative of the estate of the deceased </w:t>
      </w:r>
      <w:r w:rsidR="00E8294B">
        <w:rPr>
          <w:rFonts w:ascii="Times New Roman" w:hAnsi="Times New Roman" w:cs="Times New Roman"/>
          <w:bCs/>
          <w:sz w:val="28"/>
          <w:szCs w:val="28"/>
        </w:rPr>
        <w:t>p</w:t>
      </w:r>
      <w:r w:rsidRPr="00EB6BC8">
        <w:rPr>
          <w:rFonts w:ascii="Times New Roman" w:hAnsi="Times New Roman" w:cs="Times New Roman"/>
          <w:bCs/>
          <w:sz w:val="28"/>
          <w:szCs w:val="28"/>
        </w:rPr>
        <w:t>laintiff filed a wrongful-death action against a medical center, and fictitiously named medical center employees, alleging employees breached applicable standards of care resulting in police removing</w:t>
      </w:r>
      <w:r w:rsidR="00E8294B">
        <w:rPr>
          <w:rFonts w:ascii="Times New Roman" w:hAnsi="Times New Roman" w:cs="Times New Roman"/>
          <w:bCs/>
          <w:sz w:val="28"/>
          <w:szCs w:val="28"/>
        </w:rPr>
        <w:t xml:space="preserve"> the deceased plaintiff</w:t>
      </w:r>
      <w:r w:rsidRPr="00EB6BC8">
        <w:rPr>
          <w:rFonts w:ascii="Times New Roman" w:hAnsi="Times New Roman" w:cs="Times New Roman"/>
          <w:bCs/>
          <w:sz w:val="28"/>
          <w:szCs w:val="28"/>
        </w:rPr>
        <w:t xml:space="preserve"> from </w:t>
      </w:r>
      <w:r w:rsidR="00685DEE">
        <w:rPr>
          <w:rFonts w:ascii="Times New Roman" w:hAnsi="Times New Roman" w:cs="Times New Roman"/>
          <w:bCs/>
          <w:sz w:val="28"/>
          <w:szCs w:val="28"/>
        </w:rPr>
        <w:t xml:space="preserve">the </w:t>
      </w:r>
      <w:r w:rsidRPr="00EB6BC8">
        <w:rPr>
          <w:rFonts w:ascii="Times New Roman" w:hAnsi="Times New Roman" w:cs="Times New Roman"/>
          <w:bCs/>
          <w:sz w:val="28"/>
          <w:szCs w:val="28"/>
        </w:rPr>
        <w:t xml:space="preserve">emergency room before she was treated for bacterial meningitis. The </w:t>
      </w:r>
      <w:r w:rsidR="00685DEE">
        <w:rPr>
          <w:rFonts w:ascii="Times New Roman" w:hAnsi="Times New Roman" w:cs="Times New Roman"/>
          <w:bCs/>
          <w:sz w:val="28"/>
          <w:szCs w:val="28"/>
        </w:rPr>
        <w:t>p</w:t>
      </w:r>
      <w:r w:rsidRPr="00EB6BC8">
        <w:rPr>
          <w:rFonts w:ascii="Times New Roman" w:hAnsi="Times New Roman" w:cs="Times New Roman"/>
          <w:bCs/>
          <w:sz w:val="28"/>
          <w:szCs w:val="28"/>
        </w:rPr>
        <w:t xml:space="preserve">laintiff issued discovery requests with the </w:t>
      </w:r>
      <w:r w:rsidR="00685DEE">
        <w:rPr>
          <w:rFonts w:ascii="Times New Roman" w:hAnsi="Times New Roman" w:cs="Times New Roman"/>
          <w:bCs/>
          <w:sz w:val="28"/>
          <w:szCs w:val="28"/>
        </w:rPr>
        <w:t>c</w:t>
      </w:r>
      <w:r w:rsidRPr="00EB6BC8">
        <w:rPr>
          <w:rFonts w:ascii="Times New Roman" w:hAnsi="Times New Roman" w:cs="Times New Roman"/>
          <w:bCs/>
          <w:sz w:val="28"/>
          <w:szCs w:val="28"/>
        </w:rPr>
        <w:t xml:space="preserve">omplaint seeking discovery of information concerning the identities of the fictitiously named employees. The </w:t>
      </w:r>
      <w:r w:rsidR="00685DEE">
        <w:rPr>
          <w:rFonts w:ascii="Times New Roman" w:hAnsi="Times New Roman" w:cs="Times New Roman"/>
          <w:bCs/>
          <w:sz w:val="28"/>
          <w:szCs w:val="28"/>
        </w:rPr>
        <w:t>p</w:t>
      </w:r>
      <w:r w:rsidRPr="00EB6BC8">
        <w:rPr>
          <w:rFonts w:ascii="Times New Roman" w:hAnsi="Times New Roman" w:cs="Times New Roman"/>
          <w:bCs/>
          <w:sz w:val="28"/>
          <w:szCs w:val="28"/>
        </w:rPr>
        <w:t xml:space="preserve">laintiff also repeatedly requested, through email, that the medical center identify the employees who provided care to the deceased </w:t>
      </w:r>
      <w:r w:rsidR="00685DEE">
        <w:rPr>
          <w:rFonts w:ascii="Times New Roman" w:hAnsi="Times New Roman" w:cs="Times New Roman"/>
          <w:bCs/>
          <w:sz w:val="28"/>
          <w:szCs w:val="28"/>
        </w:rPr>
        <w:t>p</w:t>
      </w:r>
      <w:r w:rsidRPr="00EB6BC8">
        <w:rPr>
          <w:rFonts w:ascii="Times New Roman" w:hAnsi="Times New Roman" w:cs="Times New Roman"/>
          <w:bCs/>
          <w:sz w:val="28"/>
          <w:szCs w:val="28"/>
        </w:rPr>
        <w:t xml:space="preserve">laintiff. Eleven months after the discovery requests were issued, and after entry of a motion to compel, the medical center finally produced medical records from the deceased </w:t>
      </w:r>
      <w:r w:rsidR="00685DEE">
        <w:rPr>
          <w:rFonts w:ascii="Times New Roman" w:hAnsi="Times New Roman" w:cs="Times New Roman"/>
          <w:bCs/>
          <w:sz w:val="28"/>
          <w:szCs w:val="28"/>
        </w:rPr>
        <w:t>p</w:t>
      </w:r>
      <w:r w:rsidRPr="00EB6BC8">
        <w:rPr>
          <w:rFonts w:ascii="Times New Roman" w:hAnsi="Times New Roman" w:cs="Times New Roman"/>
          <w:bCs/>
          <w:sz w:val="28"/>
          <w:szCs w:val="28"/>
        </w:rPr>
        <w:t xml:space="preserve">laintiff's hospital stay, along with a list of medical center employees present at the time of the alleged malpractice. By that time the statute of limitations had run. The </w:t>
      </w:r>
      <w:r w:rsidR="00685DEE">
        <w:rPr>
          <w:rFonts w:ascii="Times New Roman" w:hAnsi="Times New Roman" w:cs="Times New Roman"/>
          <w:bCs/>
          <w:sz w:val="28"/>
          <w:szCs w:val="28"/>
        </w:rPr>
        <w:t>p</w:t>
      </w:r>
      <w:r w:rsidRPr="00EB6BC8">
        <w:rPr>
          <w:rFonts w:ascii="Times New Roman" w:hAnsi="Times New Roman" w:cs="Times New Roman"/>
          <w:bCs/>
          <w:sz w:val="28"/>
          <w:szCs w:val="28"/>
        </w:rPr>
        <w:t xml:space="preserve">laintiff amended her complaint substituting fictitious parties. The substituted medical center employees filed a </w:t>
      </w:r>
      <w:r w:rsidR="00685DEE">
        <w:rPr>
          <w:rFonts w:ascii="Times New Roman" w:hAnsi="Times New Roman" w:cs="Times New Roman"/>
          <w:bCs/>
          <w:sz w:val="28"/>
          <w:szCs w:val="28"/>
        </w:rPr>
        <w:t>mo</w:t>
      </w:r>
      <w:r w:rsidRPr="00EB6BC8">
        <w:rPr>
          <w:rFonts w:ascii="Times New Roman" w:hAnsi="Times New Roman" w:cs="Times New Roman"/>
          <w:bCs/>
          <w:sz w:val="28"/>
          <w:szCs w:val="28"/>
        </w:rPr>
        <w:t xml:space="preserve">tion for </w:t>
      </w:r>
      <w:r w:rsidR="00685DEE">
        <w:rPr>
          <w:rFonts w:ascii="Times New Roman" w:hAnsi="Times New Roman" w:cs="Times New Roman"/>
          <w:bCs/>
          <w:sz w:val="28"/>
          <w:szCs w:val="28"/>
        </w:rPr>
        <w:t>s</w:t>
      </w:r>
      <w:r w:rsidRPr="00EB6BC8">
        <w:rPr>
          <w:rFonts w:ascii="Times New Roman" w:hAnsi="Times New Roman" w:cs="Times New Roman"/>
          <w:bCs/>
          <w:sz w:val="28"/>
          <w:szCs w:val="28"/>
        </w:rPr>
        <w:t xml:space="preserve">ummary </w:t>
      </w:r>
      <w:r w:rsidR="00685DEE">
        <w:rPr>
          <w:rFonts w:ascii="Times New Roman" w:hAnsi="Times New Roman" w:cs="Times New Roman"/>
          <w:bCs/>
          <w:sz w:val="28"/>
          <w:szCs w:val="28"/>
        </w:rPr>
        <w:t>j</w:t>
      </w:r>
      <w:r w:rsidRPr="00EB6BC8">
        <w:rPr>
          <w:rFonts w:ascii="Times New Roman" w:hAnsi="Times New Roman" w:cs="Times New Roman"/>
          <w:bCs/>
          <w:sz w:val="28"/>
          <w:szCs w:val="28"/>
        </w:rPr>
        <w:t xml:space="preserve">udgment arguing that they had not been named as defendants within the applicable statute of limitations period. </w:t>
      </w:r>
    </w:p>
    <w:p w14:paraId="2E7F49F8" w14:textId="77777777" w:rsidR="00E07BA3" w:rsidRPr="00EB6BC8" w:rsidRDefault="00E07BA3" w:rsidP="00E07BA3">
      <w:pPr>
        <w:spacing w:after="0"/>
        <w:jc w:val="both"/>
        <w:rPr>
          <w:rFonts w:ascii="Times New Roman" w:hAnsi="Times New Roman" w:cs="Times New Roman"/>
          <w:bCs/>
          <w:sz w:val="28"/>
          <w:szCs w:val="28"/>
        </w:rPr>
      </w:pPr>
    </w:p>
    <w:p w14:paraId="644573A7" w14:textId="77777777" w:rsidR="00E07BA3" w:rsidRPr="00EB6BC8" w:rsidRDefault="00E07BA3" w:rsidP="00E07BA3">
      <w:pPr>
        <w:spacing w:after="0"/>
        <w:jc w:val="both"/>
        <w:rPr>
          <w:rFonts w:ascii="Times New Roman" w:hAnsi="Times New Roman" w:cs="Times New Roman"/>
          <w:bCs/>
          <w:sz w:val="28"/>
          <w:szCs w:val="28"/>
        </w:rPr>
      </w:pPr>
      <w:r w:rsidRPr="00EB6BC8">
        <w:rPr>
          <w:rFonts w:ascii="Times New Roman" w:hAnsi="Times New Roman" w:cs="Times New Roman"/>
          <w:bCs/>
          <w:sz w:val="28"/>
          <w:szCs w:val="28"/>
        </w:rPr>
        <w:tab/>
        <w:t xml:space="preserve">The court noted that in order to avoid the bar of a statute of limitations when a plaintiff amends a complaint to identify a fictitiously named defendant on the original complaint, the plaintiff: (1) must have adequately described the fictitiously named defendant in the original complaint; (2) must have stated a cause of action against the fictitiously named defendant in the body of the original complaint; (3) must have been ignorant of the true identity of the fictitiously named defendant; and (4) must have used due diligence in attempting to discover the true identity of the </w:t>
      </w:r>
      <w:r w:rsidRPr="00EB6BC8">
        <w:rPr>
          <w:rFonts w:ascii="Times New Roman" w:hAnsi="Times New Roman" w:cs="Times New Roman"/>
          <w:bCs/>
          <w:sz w:val="28"/>
          <w:szCs w:val="28"/>
        </w:rPr>
        <w:lastRenderedPageBreak/>
        <w:t>fictitiously named defendant. The Court further emphasized that the due-diligence requirement applies both before and after the filing of the original complaint and that a plaintiff must similarly exercise due diligence in amending his or her complaint once the true identity of a defendant is discovered.</w:t>
      </w:r>
    </w:p>
    <w:p w14:paraId="5772AF39" w14:textId="77777777" w:rsidR="00E07BA3" w:rsidRPr="00EB6BC8" w:rsidRDefault="00E07BA3" w:rsidP="00E07BA3">
      <w:pPr>
        <w:spacing w:after="0"/>
        <w:jc w:val="both"/>
        <w:rPr>
          <w:rFonts w:ascii="Times New Roman" w:hAnsi="Times New Roman" w:cs="Times New Roman"/>
          <w:bCs/>
          <w:sz w:val="28"/>
          <w:szCs w:val="28"/>
        </w:rPr>
      </w:pPr>
    </w:p>
    <w:p w14:paraId="65B90A93" w14:textId="77777777" w:rsidR="00E07BA3" w:rsidRPr="00EB6BC8" w:rsidRDefault="00E07BA3" w:rsidP="00E07BA3">
      <w:pPr>
        <w:spacing w:after="0"/>
        <w:jc w:val="both"/>
        <w:rPr>
          <w:rFonts w:ascii="Times New Roman" w:hAnsi="Times New Roman" w:cs="Times New Roman"/>
          <w:bCs/>
          <w:sz w:val="28"/>
          <w:szCs w:val="28"/>
        </w:rPr>
      </w:pPr>
      <w:r w:rsidRPr="00EB6BC8">
        <w:rPr>
          <w:rFonts w:ascii="Times New Roman" w:hAnsi="Times New Roman" w:cs="Times New Roman"/>
          <w:bCs/>
          <w:sz w:val="28"/>
          <w:szCs w:val="28"/>
        </w:rPr>
        <w:tab/>
        <w:t xml:space="preserve">The Alabama Supreme Court held that the amended complaint substituting Defendants Blanchard, Gulas, and Pruitt for fictitious parties related back to the original complaint. The Court pointed out that the estate's request for production clearly encompassed a communication-control log, which identified the nurses that provided care to the deceased </w:t>
      </w:r>
      <w:r w:rsidR="0093359A">
        <w:rPr>
          <w:rFonts w:ascii="Times New Roman" w:hAnsi="Times New Roman" w:cs="Times New Roman"/>
          <w:bCs/>
          <w:sz w:val="28"/>
          <w:szCs w:val="28"/>
        </w:rPr>
        <w:t>p</w:t>
      </w:r>
      <w:r w:rsidRPr="00EB6BC8">
        <w:rPr>
          <w:rFonts w:ascii="Times New Roman" w:hAnsi="Times New Roman" w:cs="Times New Roman"/>
          <w:bCs/>
          <w:sz w:val="28"/>
          <w:szCs w:val="28"/>
        </w:rPr>
        <w:t>laintiff, but log was not produced until eleven months after request for production was made, four months after statute of limitations expired, and three months after nurse was substituted as defendant.</w:t>
      </w:r>
    </w:p>
    <w:p w14:paraId="06D7A6B0" w14:textId="77777777" w:rsidR="00E07BA3" w:rsidRPr="00EB6BC8" w:rsidRDefault="00E07BA3" w:rsidP="00E07BA3">
      <w:pPr>
        <w:spacing w:after="0"/>
        <w:jc w:val="both"/>
        <w:rPr>
          <w:rFonts w:ascii="Times New Roman" w:hAnsi="Times New Roman" w:cs="Times New Roman"/>
          <w:bCs/>
          <w:sz w:val="28"/>
          <w:szCs w:val="28"/>
        </w:rPr>
      </w:pPr>
    </w:p>
    <w:p w14:paraId="1A225607" w14:textId="77777777" w:rsidR="00E07BA3" w:rsidRPr="00EB6BC8" w:rsidRDefault="00E07BA3" w:rsidP="00E07BA3">
      <w:pPr>
        <w:spacing w:after="0"/>
        <w:jc w:val="both"/>
        <w:rPr>
          <w:rFonts w:ascii="Times New Roman" w:hAnsi="Times New Roman" w:cs="Times New Roman"/>
          <w:bCs/>
          <w:sz w:val="28"/>
          <w:szCs w:val="28"/>
        </w:rPr>
      </w:pPr>
      <w:r w:rsidRPr="00EB6BC8">
        <w:rPr>
          <w:rFonts w:ascii="Times New Roman" w:hAnsi="Times New Roman" w:cs="Times New Roman"/>
          <w:bCs/>
          <w:sz w:val="28"/>
          <w:szCs w:val="28"/>
        </w:rPr>
        <w:tab/>
        <w:t xml:space="preserve">The Court held that the amended complaint substituting </w:t>
      </w:r>
      <w:r w:rsidR="0093359A">
        <w:rPr>
          <w:rFonts w:ascii="Times New Roman" w:hAnsi="Times New Roman" w:cs="Times New Roman"/>
          <w:bCs/>
          <w:sz w:val="28"/>
          <w:szCs w:val="28"/>
        </w:rPr>
        <w:t>d</w:t>
      </w:r>
      <w:r w:rsidRPr="00EB6BC8">
        <w:rPr>
          <w:rFonts w:ascii="Times New Roman" w:hAnsi="Times New Roman" w:cs="Times New Roman"/>
          <w:bCs/>
          <w:sz w:val="28"/>
          <w:szCs w:val="28"/>
        </w:rPr>
        <w:t>efendant Russell for a fictitious party did not relate back to the original complaint. "Because none of the allegedly tortious acts described in Miles's complaint adequately describe the act Russell is accused of committing –– telling the security guard he could call the police if he thought it was necessary to do so –– Miles cannot use Rule 9(h) to avoid the statute of limitations and assert an otherwise untimely claim against Russell."</w:t>
      </w:r>
    </w:p>
    <w:p w14:paraId="324B04D7" w14:textId="77777777" w:rsidR="00A15DA3" w:rsidRPr="00EB6BC8" w:rsidRDefault="00A15DA3" w:rsidP="00BE6102">
      <w:pPr>
        <w:spacing w:after="0"/>
        <w:jc w:val="both"/>
        <w:rPr>
          <w:rFonts w:ascii="Times New Roman" w:hAnsi="Times New Roman" w:cs="Times New Roman"/>
          <w:b/>
          <w:bCs/>
          <w:iCs/>
          <w:sz w:val="28"/>
          <w:szCs w:val="28"/>
        </w:rPr>
      </w:pPr>
    </w:p>
    <w:p w14:paraId="03056BB9" w14:textId="77777777" w:rsidR="00DC2187" w:rsidRPr="00EB6BC8" w:rsidRDefault="00DC2187" w:rsidP="00DC2187">
      <w:pPr>
        <w:spacing w:after="0"/>
        <w:jc w:val="both"/>
        <w:rPr>
          <w:rFonts w:ascii="Times New Roman" w:hAnsi="Times New Roman" w:cs="Times New Roman"/>
          <w:b/>
          <w:bCs/>
          <w:sz w:val="28"/>
          <w:szCs w:val="28"/>
        </w:rPr>
      </w:pPr>
      <w:r w:rsidRPr="00EB6BC8">
        <w:rPr>
          <w:rFonts w:ascii="Times New Roman" w:hAnsi="Times New Roman" w:cs="Times New Roman"/>
          <w:b/>
          <w:bCs/>
          <w:sz w:val="28"/>
          <w:szCs w:val="28"/>
        </w:rPr>
        <w:t>Service by publication—</w:t>
      </w:r>
      <w:r w:rsidRPr="00EB6BC8">
        <w:rPr>
          <w:rFonts w:ascii="Times New Roman" w:hAnsi="Times New Roman" w:cs="Times New Roman"/>
          <w:b/>
          <w:bCs/>
          <w:i/>
          <w:iCs/>
          <w:sz w:val="28"/>
          <w:szCs w:val="28"/>
        </w:rPr>
        <w:t xml:space="preserve">Cochran v. </w:t>
      </w:r>
      <w:proofErr w:type="spellStart"/>
      <w:r w:rsidRPr="00EB6BC8">
        <w:rPr>
          <w:rFonts w:ascii="Times New Roman" w:hAnsi="Times New Roman" w:cs="Times New Roman"/>
          <w:b/>
          <w:bCs/>
          <w:i/>
          <w:iCs/>
          <w:sz w:val="28"/>
          <w:szCs w:val="28"/>
        </w:rPr>
        <w:t>Engelland</w:t>
      </w:r>
      <w:proofErr w:type="spellEnd"/>
      <w:r w:rsidRPr="00EB6BC8">
        <w:rPr>
          <w:rFonts w:ascii="Times New Roman" w:hAnsi="Times New Roman" w:cs="Times New Roman"/>
          <w:b/>
          <w:bCs/>
          <w:sz w:val="28"/>
          <w:szCs w:val="28"/>
        </w:rPr>
        <w:t xml:space="preserve">, 298 So. 3d 1071 (Ala. 2020) </w:t>
      </w:r>
    </w:p>
    <w:p w14:paraId="020253DB" w14:textId="77777777" w:rsidR="00DC2187" w:rsidRPr="00EB6BC8" w:rsidRDefault="00DC2187" w:rsidP="00DC2187">
      <w:pPr>
        <w:spacing w:after="0"/>
        <w:jc w:val="both"/>
        <w:rPr>
          <w:rFonts w:ascii="Times New Roman" w:hAnsi="Times New Roman" w:cs="Times New Roman"/>
          <w:sz w:val="28"/>
          <w:szCs w:val="28"/>
        </w:rPr>
      </w:pPr>
    </w:p>
    <w:p w14:paraId="2E579C27"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Rule 4.3(d)(1) requires a plaintiff seeking to effect service by publication to submit an affidavit to the trial court “averring facts showing such avoid</w:t>
      </w:r>
      <w:r w:rsidRPr="00EB6BC8">
        <w:rPr>
          <w:rFonts w:ascii="Times New Roman" w:hAnsi="Times New Roman" w:cs="Times New Roman"/>
          <w:sz w:val="28"/>
          <w:szCs w:val="28"/>
        </w:rPr>
        <w:softHyphen/>
        <w:t>ance,” and Rule 4.3(c) reiterates that this affidavit “must aver specific facts of avoidance” and cautions that “[t]he mere fact of failure of service is not suffi</w:t>
      </w:r>
      <w:r w:rsidRPr="00EB6BC8">
        <w:rPr>
          <w:rFonts w:ascii="Times New Roman" w:hAnsi="Times New Roman" w:cs="Times New Roman"/>
          <w:sz w:val="28"/>
          <w:szCs w:val="28"/>
        </w:rPr>
        <w:softHyphen/>
        <w:t>cient evidence of avoidance.” Conclusory statements that, “[u]</w:t>
      </w:r>
      <w:proofErr w:type="spellStart"/>
      <w:r w:rsidRPr="00EB6BC8">
        <w:rPr>
          <w:rFonts w:ascii="Times New Roman" w:hAnsi="Times New Roman" w:cs="Times New Roman"/>
          <w:sz w:val="28"/>
          <w:szCs w:val="28"/>
        </w:rPr>
        <w:t>nder</w:t>
      </w:r>
      <w:proofErr w:type="spellEnd"/>
      <w:r w:rsidRPr="00EB6BC8">
        <w:rPr>
          <w:rFonts w:ascii="Times New Roman" w:hAnsi="Times New Roman" w:cs="Times New Roman"/>
          <w:sz w:val="28"/>
          <w:szCs w:val="28"/>
        </w:rPr>
        <w:t xml:space="preserve"> information and belief, [Pilar] avoided service” do not meet the requirements of Rule 4.3.</w:t>
      </w:r>
    </w:p>
    <w:p w14:paraId="720E595B" w14:textId="77777777" w:rsidR="00DC2187" w:rsidRPr="00EB6BC8" w:rsidRDefault="00DC2187" w:rsidP="00DC2187">
      <w:pPr>
        <w:spacing w:after="0"/>
        <w:jc w:val="both"/>
        <w:rPr>
          <w:rFonts w:ascii="Times New Roman" w:hAnsi="Times New Roman" w:cs="Times New Roman"/>
          <w:sz w:val="28"/>
          <w:szCs w:val="28"/>
        </w:rPr>
      </w:pPr>
    </w:p>
    <w:p w14:paraId="2B86DE6A" w14:textId="77777777" w:rsidR="006F6EFE" w:rsidRPr="00EB6BC8" w:rsidRDefault="006F6EFE" w:rsidP="006F6EFE">
      <w:pPr>
        <w:spacing w:after="0"/>
        <w:rPr>
          <w:rFonts w:ascii="Times New Roman" w:hAnsi="Times New Roman" w:cs="Times New Roman"/>
          <w:b/>
          <w:bCs/>
          <w:i/>
          <w:iCs/>
          <w:sz w:val="28"/>
          <w:szCs w:val="28"/>
        </w:rPr>
      </w:pPr>
      <w:r w:rsidRPr="00EB6BC8">
        <w:rPr>
          <w:rFonts w:ascii="Times New Roman" w:hAnsi="Times New Roman" w:cs="Times New Roman"/>
          <w:b/>
          <w:bCs/>
          <w:iCs/>
          <w:sz w:val="28"/>
          <w:szCs w:val="28"/>
        </w:rPr>
        <w:t>Outbound Forum Selection Clause—</w:t>
      </w:r>
      <w:r w:rsidRPr="00EB6BC8">
        <w:rPr>
          <w:rFonts w:ascii="Times New Roman" w:hAnsi="Times New Roman" w:cs="Times New Roman"/>
          <w:b/>
          <w:bCs/>
          <w:i/>
          <w:iCs/>
          <w:sz w:val="28"/>
          <w:szCs w:val="28"/>
        </w:rPr>
        <w:t>Ex parte Int’l Paper Co.</w:t>
      </w:r>
      <w:r w:rsidRPr="00EB6BC8">
        <w:rPr>
          <w:rFonts w:ascii="Times New Roman" w:hAnsi="Times New Roman" w:cs="Times New Roman"/>
          <w:b/>
          <w:bCs/>
          <w:sz w:val="28"/>
          <w:szCs w:val="28"/>
        </w:rPr>
        <w:t xml:space="preserve">, 285 So. 3d 753 (Ala. 2019) </w:t>
      </w:r>
    </w:p>
    <w:p w14:paraId="700F40C7" w14:textId="77777777" w:rsidR="006F6EFE" w:rsidRPr="00EB6BC8" w:rsidRDefault="006F6EFE" w:rsidP="006F6EFE">
      <w:pPr>
        <w:spacing w:after="0"/>
        <w:jc w:val="both"/>
        <w:rPr>
          <w:rFonts w:ascii="Times New Roman" w:hAnsi="Times New Roman" w:cs="Times New Roman"/>
          <w:sz w:val="28"/>
          <w:szCs w:val="28"/>
        </w:rPr>
      </w:pPr>
    </w:p>
    <w:p w14:paraId="1434FBF2"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sz w:val="28"/>
          <w:szCs w:val="28"/>
        </w:rPr>
        <w:tab/>
        <w:t>Outbound forum selection claus</w:t>
      </w:r>
      <w:r w:rsidRPr="00EB6BC8">
        <w:rPr>
          <w:rFonts w:ascii="Times New Roman" w:hAnsi="Times New Roman" w:cs="Times New Roman"/>
          <w:sz w:val="28"/>
          <w:szCs w:val="28"/>
        </w:rPr>
        <w:softHyphen/>
        <w:t>es will be upheld in Alabama unless the party challenging the</w:t>
      </w:r>
      <w:r w:rsidR="0093359A">
        <w:rPr>
          <w:rFonts w:ascii="Times New Roman" w:hAnsi="Times New Roman" w:cs="Times New Roman"/>
          <w:sz w:val="28"/>
          <w:szCs w:val="28"/>
        </w:rPr>
        <w:t xml:space="preserve"> clause can establish: 1) E</w:t>
      </w:r>
      <w:r w:rsidRPr="00EB6BC8">
        <w:rPr>
          <w:rFonts w:ascii="Times New Roman" w:hAnsi="Times New Roman" w:cs="Times New Roman"/>
          <w:sz w:val="28"/>
          <w:szCs w:val="28"/>
        </w:rPr>
        <w:t xml:space="preserve">nforcement of the clause would be unfair on the basis that it was affected by fraud, undue influence or overweening bargaining </w:t>
      </w:r>
      <w:r w:rsidR="003C3BBF">
        <w:rPr>
          <w:rFonts w:ascii="Times New Roman" w:hAnsi="Times New Roman" w:cs="Times New Roman"/>
          <w:sz w:val="28"/>
          <w:szCs w:val="28"/>
        </w:rPr>
        <w:t>power; or 2) E</w:t>
      </w:r>
      <w:r w:rsidRPr="00EB6BC8">
        <w:rPr>
          <w:rFonts w:ascii="Times New Roman" w:hAnsi="Times New Roman" w:cs="Times New Roman"/>
          <w:sz w:val="28"/>
          <w:szCs w:val="28"/>
        </w:rPr>
        <w:t xml:space="preserve">nforcement would be unreasonable on the basis that the forum would be seriously inconvenient. The Court also held forum selection clauses may bind </w:t>
      </w:r>
      <w:proofErr w:type="spellStart"/>
      <w:r w:rsidRPr="00EB6BC8">
        <w:rPr>
          <w:rFonts w:ascii="Times New Roman" w:hAnsi="Times New Roman" w:cs="Times New Roman"/>
          <w:sz w:val="28"/>
          <w:szCs w:val="28"/>
        </w:rPr>
        <w:lastRenderedPageBreak/>
        <w:t>nonsignatories</w:t>
      </w:r>
      <w:proofErr w:type="spellEnd"/>
      <w:r w:rsidRPr="00EB6BC8">
        <w:rPr>
          <w:rFonts w:ascii="Times New Roman" w:hAnsi="Times New Roman" w:cs="Times New Roman"/>
          <w:sz w:val="28"/>
          <w:szCs w:val="28"/>
        </w:rPr>
        <w:t xml:space="preserve"> that are closely related to the contractual relationship or who are “transaction participants.” </w:t>
      </w:r>
    </w:p>
    <w:p w14:paraId="4FB22AE3" w14:textId="77777777" w:rsidR="006F6EFE" w:rsidRPr="00EB6BC8" w:rsidRDefault="006F6EFE" w:rsidP="00DC2187">
      <w:pPr>
        <w:spacing w:after="0"/>
        <w:jc w:val="both"/>
        <w:rPr>
          <w:rFonts w:ascii="Times New Roman" w:hAnsi="Times New Roman" w:cs="Times New Roman"/>
          <w:sz w:val="28"/>
          <w:szCs w:val="28"/>
        </w:rPr>
      </w:pPr>
    </w:p>
    <w:p w14:paraId="0124143F" w14:textId="77777777" w:rsidR="00DC2187" w:rsidRPr="00EB6BC8" w:rsidRDefault="00DC2187" w:rsidP="00DC2187">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Venue</w:t>
      </w:r>
      <w:r w:rsidRPr="00EB6BC8">
        <w:rPr>
          <w:rFonts w:ascii="Times New Roman" w:hAnsi="Times New Roman" w:cs="Times New Roman"/>
          <w:b/>
          <w:bCs/>
          <w:i/>
          <w:iCs/>
          <w:sz w:val="28"/>
          <w:szCs w:val="28"/>
        </w:rPr>
        <w:t>—Ex parte Burgess</w:t>
      </w:r>
      <w:r w:rsidRPr="00EB6BC8">
        <w:rPr>
          <w:rFonts w:ascii="Times New Roman" w:hAnsi="Times New Roman" w:cs="Times New Roman"/>
          <w:b/>
          <w:bCs/>
          <w:sz w:val="28"/>
          <w:szCs w:val="28"/>
        </w:rPr>
        <w:t xml:space="preserve">, 298 So. 3d 1080 (Ala. 2020) </w:t>
      </w:r>
    </w:p>
    <w:p w14:paraId="602956D4" w14:textId="77777777" w:rsidR="00DC2187" w:rsidRPr="00EB6BC8" w:rsidRDefault="00DC2187" w:rsidP="00DC2187">
      <w:pPr>
        <w:spacing w:after="0"/>
        <w:jc w:val="both"/>
        <w:rPr>
          <w:rFonts w:ascii="Times New Roman" w:hAnsi="Times New Roman" w:cs="Times New Roman"/>
          <w:bCs/>
          <w:sz w:val="28"/>
          <w:szCs w:val="28"/>
        </w:rPr>
      </w:pPr>
    </w:p>
    <w:p w14:paraId="2CF4E7B9"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bCs/>
          <w:sz w:val="28"/>
          <w:szCs w:val="28"/>
        </w:rPr>
        <w:tab/>
        <w:t>A</w:t>
      </w:r>
      <w:r w:rsidRPr="00EB6BC8">
        <w:rPr>
          <w:rFonts w:ascii="Times New Roman" w:hAnsi="Times New Roman" w:cs="Times New Roman"/>
          <w:sz w:val="28"/>
          <w:szCs w:val="28"/>
        </w:rPr>
        <w:t xml:space="preserve"> ve</w:t>
      </w:r>
      <w:r w:rsidRPr="00EB6BC8">
        <w:rPr>
          <w:rFonts w:ascii="Times New Roman" w:hAnsi="Times New Roman" w:cs="Times New Roman"/>
          <w:sz w:val="28"/>
          <w:szCs w:val="28"/>
        </w:rPr>
        <w:softHyphen/>
        <w:t xml:space="preserve">hicle driven by Burgess collided with a vehicle driven by Stephens. The accident occurred in Shelby County. Burgess sued Stephens in Jefferson County, alleging negligence and wantonness. Stephens filed a motion for a change of venue under the “interest of justice” prong of Alabama’s forum non </w:t>
      </w:r>
      <w:proofErr w:type="spellStart"/>
      <w:r w:rsidRPr="00EB6BC8">
        <w:rPr>
          <w:rFonts w:ascii="Times New Roman" w:hAnsi="Times New Roman" w:cs="Times New Roman"/>
          <w:sz w:val="28"/>
          <w:szCs w:val="28"/>
        </w:rPr>
        <w:t>conveniens</w:t>
      </w:r>
      <w:proofErr w:type="spellEnd"/>
      <w:r w:rsidRPr="00EB6BC8">
        <w:rPr>
          <w:rFonts w:ascii="Times New Roman" w:hAnsi="Times New Roman" w:cs="Times New Roman"/>
          <w:sz w:val="28"/>
          <w:szCs w:val="28"/>
        </w:rPr>
        <w:t xml:space="preserve"> statutes. The </w:t>
      </w:r>
      <w:r w:rsidR="003C3BBF">
        <w:rPr>
          <w:rFonts w:ascii="Times New Roman" w:hAnsi="Times New Roman" w:cs="Times New Roman"/>
          <w:sz w:val="28"/>
          <w:szCs w:val="28"/>
        </w:rPr>
        <w:t>trial</w:t>
      </w:r>
      <w:r w:rsidRPr="00EB6BC8">
        <w:rPr>
          <w:rFonts w:ascii="Times New Roman" w:hAnsi="Times New Roman" w:cs="Times New Roman"/>
          <w:sz w:val="28"/>
          <w:szCs w:val="28"/>
        </w:rPr>
        <w:t xml:space="preserve"> court entered an order transferring the case to Shelby County. Bur</w:t>
      </w:r>
      <w:r w:rsidRPr="00EB6BC8">
        <w:rPr>
          <w:rFonts w:ascii="Times New Roman" w:hAnsi="Times New Roman" w:cs="Times New Roman"/>
          <w:sz w:val="28"/>
          <w:szCs w:val="28"/>
        </w:rPr>
        <w:softHyphen/>
        <w:t>gess filed a petition for a writ of mandamus. The Alabama Supreme Court issued the writ.</w:t>
      </w:r>
    </w:p>
    <w:p w14:paraId="4A6A67F1" w14:textId="77777777" w:rsidR="00DC2187" w:rsidRPr="00EB6BC8" w:rsidRDefault="00DC2187" w:rsidP="00DC2187">
      <w:pPr>
        <w:spacing w:after="0"/>
        <w:jc w:val="both"/>
        <w:rPr>
          <w:rFonts w:ascii="Times New Roman" w:hAnsi="Times New Roman" w:cs="Times New Roman"/>
          <w:sz w:val="28"/>
          <w:szCs w:val="28"/>
        </w:rPr>
      </w:pPr>
    </w:p>
    <w:p w14:paraId="6F226A2E"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3C3BBF">
        <w:rPr>
          <w:rFonts w:ascii="Times New Roman" w:hAnsi="Times New Roman" w:cs="Times New Roman"/>
          <w:sz w:val="28"/>
          <w:szCs w:val="28"/>
        </w:rPr>
        <w:t>Since</w:t>
      </w:r>
      <w:r w:rsidRPr="00EB6BC8">
        <w:rPr>
          <w:rFonts w:ascii="Times New Roman" w:hAnsi="Times New Roman" w:cs="Times New Roman"/>
          <w:sz w:val="28"/>
          <w:szCs w:val="28"/>
        </w:rPr>
        <w:t xml:space="preserve"> Jefferson and Shelby County were both proper venues for the underlying action</w:t>
      </w:r>
      <w:r w:rsidR="003C3BBF">
        <w:rPr>
          <w:rFonts w:ascii="Times New Roman" w:hAnsi="Times New Roman" w:cs="Times New Roman"/>
          <w:sz w:val="28"/>
          <w:szCs w:val="28"/>
        </w:rPr>
        <w:t>,</w:t>
      </w:r>
      <w:r w:rsidRPr="00EB6BC8">
        <w:rPr>
          <w:rFonts w:ascii="Times New Roman" w:hAnsi="Times New Roman" w:cs="Times New Roman"/>
          <w:sz w:val="28"/>
          <w:szCs w:val="28"/>
        </w:rPr>
        <w:t xml:space="preserve"> the plaintiff’s choice of venue is generally given great deference. In analyz</w:t>
      </w:r>
      <w:r w:rsidRPr="00EB6BC8">
        <w:rPr>
          <w:rFonts w:ascii="Times New Roman" w:hAnsi="Times New Roman" w:cs="Times New Roman"/>
          <w:sz w:val="28"/>
          <w:szCs w:val="28"/>
        </w:rPr>
        <w:softHyphen/>
        <w:t>in</w:t>
      </w:r>
      <w:r w:rsidR="003C3BBF">
        <w:rPr>
          <w:rFonts w:ascii="Times New Roman" w:hAnsi="Times New Roman" w:cs="Times New Roman"/>
          <w:sz w:val="28"/>
          <w:szCs w:val="28"/>
        </w:rPr>
        <w:t>g the interest of justice prong,</w:t>
      </w:r>
      <w:r w:rsidRPr="00EB6BC8">
        <w:rPr>
          <w:rFonts w:ascii="Times New Roman" w:hAnsi="Times New Roman" w:cs="Times New Roman"/>
          <w:sz w:val="28"/>
          <w:szCs w:val="28"/>
        </w:rPr>
        <w:t xml:space="preserve"> the County to which the trans</w:t>
      </w:r>
      <w:r w:rsidRPr="00EB6BC8">
        <w:rPr>
          <w:rFonts w:ascii="Times New Roman" w:hAnsi="Times New Roman" w:cs="Times New Roman"/>
          <w:sz w:val="28"/>
          <w:szCs w:val="28"/>
        </w:rPr>
        <w:softHyphen/>
        <w:t>fer is sought must have a “strong” connection to the lawsuit, while the county from which the transfer is sought must have a “weak” or “little” connection to the action</w:t>
      </w:r>
      <w:r w:rsidR="00804D13">
        <w:rPr>
          <w:rFonts w:ascii="Times New Roman" w:hAnsi="Times New Roman" w:cs="Times New Roman"/>
          <w:sz w:val="28"/>
          <w:szCs w:val="28"/>
        </w:rPr>
        <w:t xml:space="preserve">. The Court </w:t>
      </w:r>
      <w:r w:rsidRPr="00EB6BC8">
        <w:rPr>
          <w:rFonts w:ascii="Times New Roman" w:hAnsi="Times New Roman" w:cs="Times New Roman"/>
          <w:sz w:val="28"/>
          <w:szCs w:val="28"/>
        </w:rPr>
        <w:t>assigns “con</w:t>
      </w:r>
      <w:r w:rsidRPr="00EB6BC8">
        <w:rPr>
          <w:rFonts w:ascii="Times New Roman" w:hAnsi="Times New Roman" w:cs="Times New Roman"/>
          <w:sz w:val="28"/>
          <w:szCs w:val="28"/>
        </w:rPr>
        <w:softHyphen/>
        <w:t>siderable” weight to the location where the accident occurs, it is not the sole consideration for determining venue under t</w:t>
      </w:r>
      <w:r w:rsidR="00804D13">
        <w:rPr>
          <w:rFonts w:ascii="Times New Roman" w:hAnsi="Times New Roman" w:cs="Times New Roman"/>
          <w:sz w:val="28"/>
          <w:szCs w:val="28"/>
        </w:rPr>
        <w:t>he interest of justice prong</w:t>
      </w:r>
      <w:r w:rsidRPr="00EB6BC8">
        <w:rPr>
          <w:rFonts w:ascii="Times New Roman" w:hAnsi="Times New Roman" w:cs="Times New Roman"/>
          <w:sz w:val="28"/>
          <w:szCs w:val="28"/>
        </w:rPr>
        <w:t>. In this case, although the accident occurred in Shelby County, the defendants still had the burden of demonstrating that Jefferson County had a “weak” or “little” connection to the case. Here, Shelby County’s sole connection to the case was the fact that the acci</w:t>
      </w:r>
      <w:r w:rsidRPr="00EB6BC8">
        <w:rPr>
          <w:rFonts w:ascii="Times New Roman" w:hAnsi="Times New Roman" w:cs="Times New Roman"/>
          <w:sz w:val="28"/>
          <w:szCs w:val="28"/>
        </w:rPr>
        <w:softHyphen/>
        <w:t>dent occurred there. The Court stated the defen</w:t>
      </w:r>
      <w:r w:rsidRPr="00EB6BC8">
        <w:rPr>
          <w:rFonts w:ascii="Times New Roman" w:hAnsi="Times New Roman" w:cs="Times New Roman"/>
          <w:sz w:val="28"/>
          <w:szCs w:val="28"/>
        </w:rPr>
        <w:softHyphen/>
        <w:t xml:space="preserve">dant had not asserted any additional facts to indicate </w:t>
      </w:r>
      <w:r w:rsidR="00804D13">
        <w:rPr>
          <w:rFonts w:ascii="Times New Roman" w:hAnsi="Times New Roman" w:cs="Times New Roman"/>
          <w:sz w:val="28"/>
          <w:szCs w:val="28"/>
        </w:rPr>
        <w:t>t</w:t>
      </w:r>
      <w:r w:rsidRPr="00EB6BC8">
        <w:rPr>
          <w:rFonts w:ascii="Times New Roman" w:hAnsi="Times New Roman" w:cs="Times New Roman"/>
          <w:sz w:val="28"/>
          <w:szCs w:val="28"/>
        </w:rPr>
        <w:t>he overall connection between Shelby County and this case was strong. The Court further noted that all parties resided in Jefferson County, and documents relevant to the negligent en</w:t>
      </w:r>
      <w:r w:rsidRPr="00EB6BC8">
        <w:rPr>
          <w:rFonts w:ascii="Times New Roman" w:hAnsi="Times New Roman" w:cs="Times New Roman"/>
          <w:sz w:val="28"/>
          <w:szCs w:val="28"/>
        </w:rPr>
        <w:softHyphen/>
        <w:t xml:space="preserve">trustment claim would be located in Jefferson County. </w:t>
      </w:r>
    </w:p>
    <w:p w14:paraId="16505A8E" w14:textId="77777777" w:rsidR="00DC2187" w:rsidRPr="00EB6BC8" w:rsidRDefault="00DC2187" w:rsidP="00DC2187">
      <w:pPr>
        <w:tabs>
          <w:tab w:val="left" w:pos="2037"/>
        </w:tabs>
        <w:spacing w:after="0"/>
        <w:jc w:val="both"/>
        <w:rPr>
          <w:rFonts w:ascii="Times New Roman" w:hAnsi="Times New Roman" w:cs="Times New Roman"/>
          <w:sz w:val="28"/>
          <w:szCs w:val="28"/>
        </w:rPr>
      </w:pPr>
    </w:p>
    <w:p w14:paraId="23AEA62C" w14:textId="77777777" w:rsidR="00DC2187" w:rsidRPr="00EB6BC8" w:rsidRDefault="00DC2187" w:rsidP="00DC2187">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Venue</w:t>
      </w:r>
      <w:r w:rsidRPr="00EB6BC8">
        <w:rPr>
          <w:rFonts w:ascii="Times New Roman" w:hAnsi="Times New Roman" w:cs="Times New Roman"/>
          <w:b/>
          <w:bCs/>
          <w:i/>
          <w:iCs/>
          <w:sz w:val="28"/>
          <w:szCs w:val="28"/>
        </w:rPr>
        <w:t>—Ex parte Reed</w:t>
      </w:r>
      <w:r w:rsidRPr="00EB6BC8">
        <w:rPr>
          <w:rFonts w:ascii="Times New Roman" w:hAnsi="Times New Roman" w:cs="Times New Roman"/>
          <w:b/>
          <w:bCs/>
          <w:sz w:val="28"/>
          <w:szCs w:val="28"/>
        </w:rPr>
        <w:t>, 295 So. 3d 38 (Ala. 2019)</w:t>
      </w:r>
      <w:r w:rsidRPr="00EB6BC8">
        <w:rPr>
          <w:rFonts w:ascii="Times New Roman" w:hAnsi="Times New Roman" w:cs="Times New Roman"/>
          <w:b/>
          <w:bCs/>
          <w:iCs/>
          <w:sz w:val="28"/>
          <w:szCs w:val="28"/>
        </w:rPr>
        <w:t xml:space="preserve"> </w:t>
      </w:r>
    </w:p>
    <w:p w14:paraId="7E299C61" w14:textId="77777777" w:rsidR="00DC2187" w:rsidRPr="00EB6BC8" w:rsidRDefault="00DC2187" w:rsidP="00DC2187">
      <w:pPr>
        <w:spacing w:after="0"/>
        <w:jc w:val="both"/>
        <w:rPr>
          <w:rFonts w:ascii="Times New Roman" w:hAnsi="Times New Roman" w:cs="Times New Roman"/>
          <w:b/>
          <w:bCs/>
          <w:sz w:val="28"/>
          <w:szCs w:val="28"/>
        </w:rPr>
      </w:pPr>
    </w:p>
    <w:p w14:paraId="1D61307F"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b/>
          <w:bCs/>
          <w:sz w:val="28"/>
          <w:szCs w:val="28"/>
        </w:rPr>
        <w:tab/>
      </w:r>
      <w:r w:rsidRPr="00EB6BC8">
        <w:rPr>
          <w:rFonts w:ascii="Times New Roman" w:hAnsi="Times New Roman" w:cs="Times New Roman"/>
          <w:bCs/>
          <w:sz w:val="28"/>
          <w:szCs w:val="28"/>
        </w:rPr>
        <w:t>A</w:t>
      </w:r>
      <w:r w:rsidRPr="00EB6BC8">
        <w:rPr>
          <w:rFonts w:ascii="Times New Roman" w:hAnsi="Times New Roman" w:cs="Times New Roman"/>
          <w:sz w:val="28"/>
          <w:szCs w:val="28"/>
        </w:rPr>
        <w:t xml:space="preserve"> vehi</w:t>
      </w:r>
      <w:r w:rsidRPr="00EB6BC8">
        <w:rPr>
          <w:rFonts w:ascii="Times New Roman" w:hAnsi="Times New Roman" w:cs="Times New Roman"/>
          <w:sz w:val="28"/>
          <w:szCs w:val="28"/>
        </w:rPr>
        <w:softHyphen/>
        <w:t>cle driven by Reed collided with a vehicle driv</w:t>
      </w:r>
      <w:r w:rsidRPr="00EB6BC8">
        <w:rPr>
          <w:rFonts w:ascii="Times New Roman" w:hAnsi="Times New Roman" w:cs="Times New Roman"/>
          <w:sz w:val="28"/>
          <w:szCs w:val="28"/>
        </w:rPr>
        <w:softHyphen/>
        <w:t xml:space="preserve">en by </w:t>
      </w:r>
      <w:proofErr w:type="spellStart"/>
      <w:r w:rsidRPr="00EB6BC8">
        <w:rPr>
          <w:rFonts w:ascii="Times New Roman" w:hAnsi="Times New Roman" w:cs="Times New Roman"/>
          <w:sz w:val="28"/>
          <w:szCs w:val="28"/>
        </w:rPr>
        <w:t>Watwood</w:t>
      </w:r>
      <w:proofErr w:type="spellEnd"/>
      <w:r w:rsidRPr="00EB6BC8">
        <w:rPr>
          <w:rFonts w:ascii="Times New Roman" w:hAnsi="Times New Roman" w:cs="Times New Roman"/>
          <w:sz w:val="28"/>
          <w:szCs w:val="28"/>
        </w:rPr>
        <w:t xml:space="preserve"> in Marshall County. Reed was a resident of Jefferson County and </w:t>
      </w:r>
      <w:proofErr w:type="spellStart"/>
      <w:r w:rsidRPr="00EB6BC8">
        <w:rPr>
          <w:rFonts w:ascii="Times New Roman" w:hAnsi="Times New Roman" w:cs="Times New Roman"/>
          <w:sz w:val="28"/>
          <w:szCs w:val="28"/>
        </w:rPr>
        <w:t>Watwood</w:t>
      </w:r>
      <w:proofErr w:type="spellEnd"/>
      <w:r w:rsidRPr="00EB6BC8">
        <w:rPr>
          <w:rFonts w:ascii="Times New Roman" w:hAnsi="Times New Roman" w:cs="Times New Roman"/>
          <w:sz w:val="28"/>
          <w:szCs w:val="28"/>
        </w:rPr>
        <w:t xml:space="preserve"> was a resident of Cullman County. </w:t>
      </w:r>
      <w:proofErr w:type="spellStart"/>
      <w:r w:rsidRPr="00EB6BC8">
        <w:rPr>
          <w:rFonts w:ascii="Times New Roman" w:hAnsi="Times New Roman" w:cs="Times New Roman"/>
          <w:sz w:val="28"/>
          <w:szCs w:val="28"/>
        </w:rPr>
        <w:t>Watwood</w:t>
      </w:r>
      <w:proofErr w:type="spellEnd"/>
      <w:r w:rsidRPr="00EB6BC8">
        <w:rPr>
          <w:rFonts w:ascii="Times New Roman" w:hAnsi="Times New Roman" w:cs="Times New Roman"/>
          <w:sz w:val="28"/>
          <w:szCs w:val="28"/>
        </w:rPr>
        <w:t xml:space="preserve"> sued Reed in Jefferson County. Reed filed a motion under Alabama’s </w:t>
      </w:r>
      <w:r w:rsidRPr="00EB6BC8">
        <w:rPr>
          <w:rFonts w:ascii="Times New Roman" w:hAnsi="Times New Roman" w:cs="Times New Roman"/>
          <w:i/>
          <w:iCs/>
          <w:sz w:val="28"/>
          <w:szCs w:val="28"/>
        </w:rPr>
        <w:t xml:space="preserve">forum non </w:t>
      </w:r>
      <w:proofErr w:type="spellStart"/>
      <w:r w:rsidRPr="00EB6BC8">
        <w:rPr>
          <w:rFonts w:ascii="Times New Roman" w:hAnsi="Times New Roman" w:cs="Times New Roman"/>
          <w:i/>
          <w:iCs/>
          <w:sz w:val="28"/>
          <w:szCs w:val="28"/>
        </w:rPr>
        <w:t>conveniens</w:t>
      </w:r>
      <w:proofErr w:type="spellEnd"/>
      <w:r w:rsidRPr="00EB6BC8">
        <w:rPr>
          <w:rFonts w:ascii="Times New Roman" w:hAnsi="Times New Roman" w:cs="Times New Roman"/>
          <w:i/>
          <w:iCs/>
          <w:sz w:val="28"/>
          <w:szCs w:val="28"/>
        </w:rPr>
        <w:t xml:space="preserve"> </w:t>
      </w:r>
      <w:r w:rsidRPr="00EB6BC8">
        <w:rPr>
          <w:rFonts w:ascii="Times New Roman" w:hAnsi="Times New Roman" w:cs="Times New Roman"/>
          <w:sz w:val="28"/>
          <w:szCs w:val="28"/>
        </w:rPr>
        <w:t>statute</w:t>
      </w:r>
      <w:r w:rsidR="00804D13">
        <w:rPr>
          <w:rFonts w:ascii="Times New Roman" w:hAnsi="Times New Roman" w:cs="Times New Roman"/>
          <w:sz w:val="28"/>
          <w:szCs w:val="28"/>
        </w:rPr>
        <w:t>. R</w:t>
      </w:r>
      <w:r w:rsidRPr="00EB6BC8">
        <w:rPr>
          <w:rFonts w:ascii="Times New Roman" w:hAnsi="Times New Roman" w:cs="Times New Roman"/>
          <w:sz w:val="28"/>
          <w:szCs w:val="28"/>
        </w:rPr>
        <w:t xml:space="preserve">equesting that the action be transferred to Marshall County in the interest of justice. The </w:t>
      </w:r>
      <w:r w:rsidR="00804D13">
        <w:rPr>
          <w:rFonts w:ascii="Times New Roman" w:hAnsi="Times New Roman" w:cs="Times New Roman"/>
          <w:sz w:val="28"/>
          <w:szCs w:val="28"/>
        </w:rPr>
        <w:t>trial</w:t>
      </w:r>
      <w:r w:rsidRPr="00EB6BC8">
        <w:rPr>
          <w:rFonts w:ascii="Times New Roman" w:hAnsi="Times New Roman" w:cs="Times New Roman"/>
          <w:sz w:val="28"/>
          <w:szCs w:val="28"/>
        </w:rPr>
        <w:t xml:space="preserve"> court denied the mo</w:t>
      </w:r>
      <w:r w:rsidRPr="00EB6BC8">
        <w:rPr>
          <w:rFonts w:ascii="Times New Roman" w:hAnsi="Times New Roman" w:cs="Times New Roman"/>
          <w:sz w:val="28"/>
          <w:szCs w:val="28"/>
        </w:rPr>
        <w:softHyphen/>
        <w:t xml:space="preserve">tion and Reed petitioned for a writ of mandamus. </w:t>
      </w:r>
    </w:p>
    <w:p w14:paraId="348E4A56" w14:textId="77777777" w:rsidR="00DC2187" w:rsidRPr="00EB6BC8" w:rsidRDefault="00DC2187" w:rsidP="00DC2187">
      <w:pPr>
        <w:spacing w:after="0"/>
        <w:jc w:val="both"/>
        <w:rPr>
          <w:rFonts w:ascii="Times New Roman" w:hAnsi="Times New Roman" w:cs="Times New Roman"/>
          <w:sz w:val="28"/>
          <w:szCs w:val="28"/>
        </w:rPr>
      </w:pPr>
    </w:p>
    <w:p w14:paraId="51C682AF"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lastRenderedPageBreak/>
        <w:tab/>
        <w:t>The Court issued a Writ of Mandamus. Jefferson and Cullman County were proper venues. Two key factors in determining whether the interest-of-justice prong requires a transfer are “the burden of piling court services and resources upon the people of a coun</w:t>
      </w:r>
      <w:r w:rsidRPr="00EB6BC8">
        <w:rPr>
          <w:rFonts w:ascii="Times New Roman" w:hAnsi="Times New Roman" w:cs="Times New Roman"/>
          <w:sz w:val="28"/>
          <w:szCs w:val="28"/>
        </w:rPr>
        <w:softHyphen/>
        <w:t>ty that is not affected by the case” and “the interest of the people of a county to have a case that aris</w:t>
      </w:r>
      <w:r w:rsidRPr="00EB6BC8">
        <w:rPr>
          <w:rFonts w:ascii="Times New Roman" w:hAnsi="Times New Roman" w:cs="Times New Roman"/>
          <w:sz w:val="28"/>
          <w:szCs w:val="28"/>
        </w:rPr>
        <w:softHyphen/>
        <w:t xml:space="preserve">es in their county tried close to public view in their county.” </w:t>
      </w:r>
    </w:p>
    <w:p w14:paraId="47904B51" w14:textId="77777777" w:rsidR="00DC2187" w:rsidRPr="00EB6BC8" w:rsidRDefault="00DC2187" w:rsidP="00DC2187">
      <w:pPr>
        <w:spacing w:after="0"/>
        <w:jc w:val="both"/>
        <w:rPr>
          <w:rFonts w:ascii="Times New Roman" w:hAnsi="Times New Roman" w:cs="Times New Roman"/>
          <w:sz w:val="28"/>
          <w:szCs w:val="28"/>
        </w:rPr>
      </w:pPr>
    </w:p>
    <w:p w14:paraId="05A630CE"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Taking into consideration all the facts before it in the pres</w:t>
      </w:r>
      <w:r w:rsidRPr="00EB6BC8">
        <w:rPr>
          <w:rFonts w:ascii="Times New Roman" w:hAnsi="Times New Roman" w:cs="Times New Roman"/>
          <w:sz w:val="28"/>
          <w:szCs w:val="28"/>
        </w:rPr>
        <w:softHyphen/>
        <w:t>ent case, the Court concluded that Marshall Coun</w:t>
      </w:r>
      <w:r w:rsidRPr="00EB6BC8">
        <w:rPr>
          <w:rFonts w:ascii="Times New Roman" w:hAnsi="Times New Roman" w:cs="Times New Roman"/>
          <w:sz w:val="28"/>
          <w:szCs w:val="28"/>
        </w:rPr>
        <w:softHyphen/>
        <w:t>ty’s connection to the underlying action was strong. The accident occurred in Marshall County, the police personnel and emergency personnel who responded to the accident were from Marshall County, and one of the eyewitnesses to the accident was a resident of Marshall County. On the other hand, Jefferson County’s only connection to the action is that the defendant resides there.” Given that nothing mate</w:t>
      </w:r>
      <w:r w:rsidRPr="00EB6BC8">
        <w:rPr>
          <w:rFonts w:ascii="Times New Roman" w:hAnsi="Times New Roman" w:cs="Times New Roman"/>
          <w:sz w:val="28"/>
          <w:szCs w:val="28"/>
        </w:rPr>
        <w:softHyphen/>
        <w:t>rial to the action transpired in Jefferson County, we consider Jefferson County’s connection to the ac</w:t>
      </w:r>
      <w:r w:rsidRPr="00EB6BC8">
        <w:rPr>
          <w:rFonts w:ascii="Times New Roman" w:hAnsi="Times New Roman" w:cs="Times New Roman"/>
          <w:sz w:val="28"/>
          <w:szCs w:val="28"/>
        </w:rPr>
        <w:softHyphen/>
        <w:t xml:space="preserve">tion to be weak.” Therefore, transfer was warranted under the interest of justice prong of Section 6-3-21.1. </w:t>
      </w:r>
    </w:p>
    <w:p w14:paraId="53AB0229" w14:textId="77777777" w:rsidR="00DC2187" w:rsidRPr="00EB6BC8" w:rsidRDefault="00DC2187" w:rsidP="00DC2187">
      <w:pPr>
        <w:spacing w:after="0"/>
        <w:jc w:val="both"/>
        <w:rPr>
          <w:rFonts w:ascii="Times New Roman" w:hAnsi="Times New Roman" w:cs="Times New Roman"/>
          <w:sz w:val="28"/>
          <w:szCs w:val="28"/>
        </w:rPr>
      </w:pPr>
    </w:p>
    <w:p w14:paraId="627EC8FE" w14:textId="77777777" w:rsidR="00DC2187" w:rsidRPr="00EB6BC8" w:rsidRDefault="00DC2187" w:rsidP="00DC2187">
      <w:pPr>
        <w:spacing w:after="0"/>
        <w:rPr>
          <w:rFonts w:ascii="Times New Roman" w:hAnsi="Times New Roman" w:cs="Times New Roman"/>
          <w:b/>
          <w:bCs/>
          <w:i/>
          <w:iCs/>
          <w:sz w:val="28"/>
          <w:szCs w:val="28"/>
        </w:rPr>
      </w:pPr>
      <w:r w:rsidRPr="00EB6BC8">
        <w:rPr>
          <w:rFonts w:ascii="Times New Roman" w:hAnsi="Times New Roman" w:cs="Times New Roman"/>
          <w:b/>
          <w:bCs/>
          <w:iCs/>
          <w:sz w:val="28"/>
          <w:szCs w:val="28"/>
        </w:rPr>
        <w:t>Venue</w:t>
      </w:r>
      <w:r w:rsidRPr="00EB6BC8">
        <w:rPr>
          <w:rFonts w:ascii="Times New Roman" w:hAnsi="Times New Roman" w:cs="Times New Roman"/>
          <w:b/>
          <w:bCs/>
          <w:i/>
          <w:iCs/>
          <w:sz w:val="28"/>
          <w:szCs w:val="28"/>
        </w:rPr>
        <w:t xml:space="preserve">—Ex </w:t>
      </w:r>
      <w:proofErr w:type="spellStart"/>
      <w:r w:rsidRPr="00EB6BC8">
        <w:rPr>
          <w:rFonts w:ascii="Times New Roman" w:hAnsi="Times New Roman" w:cs="Times New Roman"/>
          <w:b/>
          <w:bCs/>
          <w:i/>
          <w:iCs/>
          <w:sz w:val="28"/>
          <w:szCs w:val="28"/>
        </w:rPr>
        <w:t>parte</w:t>
      </w:r>
      <w:proofErr w:type="spellEnd"/>
      <w:r w:rsidRPr="00EB6BC8">
        <w:rPr>
          <w:rFonts w:ascii="Times New Roman" w:hAnsi="Times New Roman" w:cs="Times New Roman"/>
          <w:b/>
          <w:bCs/>
          <w:i/>
          <w:iCs/>
          <w:sz w:val="28"/>
          <w:szCs w:val="28"/>
        </w:rPr>
        <w:t xml:space="preserve"> </w:t>
      </w:r>
      <w:proofErr w:type="spellStart"/>
      <w:r w:rsidRPr="00EB6BC8">
        <w:rPr>
          <w:rFonts w:ascii="Times New Roman" w:hAnsi="Times New Roman" w:cs="Times New Roman"/>
          <w:b/>
          <w:bCs/>
          <w:i/>
          <w:iCs/>
          <w:sz w:val="28"/>
          <w:szCs w:val="28"/>
        </w:rPr>
        <w:t>Seriana</w:t>
      </w:r>
      <w:proofErr w:type="spellEnd"/>
      <w:r w:rsidRPr="00EB6BC8">
        <w:rPr>
          <w:rFonts w:ascii="Times New Roman" w:hAnsi="Times New Roman" w:cs="Times New Roman"/>
          <w:b/>
          <w:bCs/>
          <w:sz w:val="28"/>
          <w:szCs w:val="28"/>
        </w:rPr>
        <w:t xml:space="preserve">, 285 So. 3d 747 (Ala. 2019) </w:t>
      </w:r>
    </w:p>
    <w:p w14:paraId="34F199E8" w14:textId="77777777" w:rsidR="00DC2187" w:rsidRPr="00EB6BC8" w:rsidRDefault="00DC2187" w:rsidP="00DC2187">
      <w:pPr>
        <w:spacing w:after="0"/>
        <w:jc w:val="both"/>
        <w:rPr>
          <w:rFonts w:ascii="Times New Roman" w:hAnsi="Times New Roman" w:cs="Times New Roman"/>
          <w:sz w:val="28"/>
          <w:szCs w:val="28"/>
        </w:rPr>
      </w:pPr>
    </w:p>
    <w:p w14:paraId="33AA26C2"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This </w:t>
      </w:r>
      <w:r w:rsidR="007A7FB7">
        <w:rPr>
          <w:rFonts w:ascii="Times New Roman" w:hAnsi="Times New Roman" w:cs="Times New Roman"/>
          <w:sz w:val="28"/>
          <w:szCs w:val="28"/>
        </w:rPr>
        <w:t>wa</w:t>
      </w:r>
      <w:r w:rsidRPr="00EB6BC8">
        <w:rPr>
          <w:rFonts w:ascii="Times New Roman" w:hAnsi="Times New Roman" w:cs="Times New Roman"/>
          <w:sz w:val="28"/>
          <w:szCs w:val="28"/>
        </w:rPr>
        <w:t xml:space="preserve">s a premises liability action. The </w:t>
      </w:r>
      <w:r w:rsidR="007A7FB7">
        <w:rPr>
          <w:rFonts w:ascii="Times New Roman" w:hAnsi="Times New Roman" w:cs="Times New Roman"/>
          <w:sz w:val="28"/>
          <w:szCs w:val="28"/>
        </w:rPr>
        <w:t>d</w:t>
      </w:r>
      <w:r w:rsidRPr="00EB6BC8">
        <w:rPr>
          <w:rFonts w:ascii="Times New Roman" w:hAnsi="Times New Roman" w:cs="Times New Roman"/>
          <w:sz w:val="28"/>
          <w:szCs w:val="28"/>
        </w:rPr>
        <w:t>efendant did not assert improper venue as an affirmative defense</w:t>
      </w:r>
      <w:r w:rsidR="007A7FB7">
        <w:rPr>
          <w:rFonts w:ascii="Times New Roman" w:hAnsi="Times New Roman" w:cs="Times New Roman"/>
          <w:sz w:val="28"/>
          <w:szCs w:val="28"/>
        </w:rPr>
        <w:t xml:space="preserve"> in its Answer</w:t>
      </w:r>
      <w:r w:rsidRPr="00EB6BC8">
        <w:rPr>
          <w:rFonts w:ascii="Times New Roman" w:hAnsi="Times New Roman" w:cs="Times New Roman"/>
          <w:sz w:val="28"/>
          <w:szCs w:val="28"/>
        </w:rPr>
        <w:t xml:space="preserve">. </w:t>
      </w:r>
      <w:proofErr w:type="spellStart"/>
      <w:r w:rsidRPr="00EB6BC8">
        <w:rPr>
          <w:rFonts w:ascii="Times New Roman" w:hAnsi="Times New Roman" w:cs="Times New Roman"/>
          <w:sz w:val="28"/>
          <w:szCs w:val="28"/>
        </w:rPr>
        <w:t>Some time</w:t>
      </w:r>
      <w:proofErr w:type="spellEnd"/>
      <w:r w:rsidRPr="00EB6BC8">
        <w:rPr>
          <w:rFonts w:ascii="Times New Roman" w:hAnsi="Times New Roman" w:cs="Times New Roman"/>
          <w:sz w:val="28"/>
          <w:szCs w:val="28"/>
        </w:rPr>
        <w:t xml:space="preserve"> later, the </w:t>
      </w:r>
      <w:r w:rsidR="007A7FB7">
        <w:rPr>
          <w:rFonts w:ascii="Times New Roman" w:hAnsi="Times New Roman" w:cs="Times New Roman"/>
          <w:sz w:val="28"/>
          <w:szCs w:val="28"/>
        </w:rPr>
        <w:t>d</w:t>
      </w:r>
      <w:r w:rsidRPr="00EB6BC8">
        <w:rPr>
          <w:rFonts w:ascii="Times New Roman" w:hAnsi="Times New Roman" w:cs="Times New Roman"/>
          <w:sz w:val="28"/>
          <w:szCs w:val="28"/>
        </w:rPr>
        <w:t>efendant raised improper ven</w:t>
      </w:r>
      <w:r w:rsidR="007A7FB7">
        <w:rPr>
          <w:rFonts w:ascii="Times New Roman" w:hAnsi="Times New Roman" w:cs="Times New Roman"/>
          <w:sz w:val="28"/>
          <w:szCs w:val="28"/>
        </w:rPr>
        <w:t>ue. The trial court granted the m</w:t>
      </w:r>
      <w:r w:rsidRPr="00EB6BC8">
        <w:rPr>
          <w:rFonts w:ascii="Times New Roman" w:hAnsi="Times New Roman" w:cs="Times New Roman"/>
          <w:sz w:val="28"/>
          <w:szCs w:val="28"/>
        </w:rPr>
        <w:t xml:space="preserve">otion to change venue. The </w:t>
      </w:r>
      <w:r w:rsidR="007A7FB7">
        <w:rPr>
          <w:rFonts w:ascii="Times New Roman" w:hAnsi="Times New Roman" w:cs="Times New Roman"/>
          <w:sz w:val="28"/>
          <w:szCs w:val="28"/>
        </w:rPr>
        <w:t>p</w:t>
      </w:r>
      <w:r w:rsidRPr="00EB6BC8">
        <w:rPr>
          <w:rFonts w:ascii="Times New Roman" w:hAnsi="Times New Roman" w:cs="Times New Roman"/>
          <w:sz w:val="28"/>
          <w:szCs w:val="28"/>
        </w:rPr>
        <w:t xml:space="preserve">laintiff filed a </w:t>
      </w:r>
      <w:r w:rsidR="007A7FB7">
        <w:rPr>
          <w:rFonts w:ascii="Times New Roman" w:hAnsi="Times New Roman" w:cs="Times New Roman"/>
          <w:sz w:val="28"/>
          <w:szCs w:val="28"/>
        </w:rPr>
        <w:t>p</w:t>
      </w:r>
      <w:r w:rsidRPr="00EB6BC8">
        <w:rPr>
          <w:rFonts w:ascii="Times New Roman" w:hAnsi="Times New Roman" w:cs="Times New Roman"/>
          <w:sz w:val="28"/>
          <w:szCs w:val="28"/>
        </w:rPr>
        <w:t xml:space="preserve">etition for </w:t>
      </w:r>
      <w:r w:rsidR="007A7FB7">
        <w:rPr>
          <w:rFonts w:ascii="Times New Roman" w:hAnsi="Times New Roman" w:cs="Times New Roman"/>
          <w:sz w:val="28"/>
          <w:szCs w:val="28"/>
        </w:rPr>
        <w:t>w</w:t>
      </w:r>
      <w:r w:rsidRPr="00EB6BC8">
        <w:rPr>
          <w:rFonts w:ascii="Times New Roman" w:hAnsi="Times New Roman" w:cs="Times New Roman"/>
          <w:sz w:val="28"/>
          <w:szCs w:val="28"/>
        </w:rPr>
        <w:t xml:space="preserve">rit of </w:t>
      </w:r>
      <w:r w:rsidR="007A7FB7">
        <w:rPr>
          <w:rFonts w:ascii="Times New Roman" w:hAnsi="Times New Roman" w:cs="Times New Roman"/>
          <w:sz w:val="28"/>
          <w:szCs w:val="28"/>
        </w:rPr>
        <w:t>m</w:t>
      </w:r>
      <w:r w:rsidRPr="00EB6BC8">
        <w:rPr>
          <w:rFonts w:ascii="Times New Roman" w:hAnsi="Times New Roman" w:cs="Times New Roman"/>
          <w:sz w:val="28"/>
          <w:szCs w:val="28"/>
        </w:rPr>
        <w:t xml:space="preserve">andamus. The Alabama Supreme Court issued the </w:t>
      </w:r>
      <w:r w:rsidR="007A7FB7">
        <w:rPr>
          <w:rFonts w:ascii="Times New Roman" w:hAnsi="Times New Roman" w:cs="Times New Roman"/>
          <w:sz w:val="28"/>
          <w:szCs w:val="28"/>
        </w:rPr>
        <w:t>w</w:t>
      </w:r>
      <w:r w:rsidRPr="00EB6BC8">
        <w:rPr>
          <w:rFonts w:ascii="Times New Roman" w:hAnsi="Times New Roman" w:cs="Times New Roman"/>
          <w:sz w:val="28"/>
          <w:szCs w:val="28"/>
        </w:rPr>
        <w:t xml:space="preserve">rit and rejected the </w:t>
      </w:r>
      <w:r w:rsidR="007A7FB7">
        <w:rPr>
          <w:rFonts w:ascii="Times New Roman" w:hAnsi="Times New Roman" w:cs="Times New Roman"/>
          <w:sz w:val="28"/>
          <w:szCs w:val="28"/>
        </w:rPr>
        <w:t>d</w:t>
      </w:r>
      <w:r w:rsidRPr="00EB6BC8">
        <w:rPr>
          <w:rFonts w:ascii="Times New Roman" w:hAnsi="Times New Roman" w:cs="Times New Roman"/>
          <w:sz w:val="28"/>
          <w:szCs w:val="28"/>
        </w:rPr>
        <w:t>efendant's argument that it had not waived an objection to venue because it reserved the right to amend its answer, including affir</w:t>
      </w:r>
      <w:r w:rsidRPr="00EB6BC8">
        <w:rPr>
          <w:rFonts w:ascii="Times New Roman" w:hAnsi="Times New Roman" w:cs="Times New Roman"/>
          <w:sz w:val="28"/>
          <w:szCs w:val="28"/>
        </w:rPr>
        <w:softHyphen/>
        <w:t>mative defenses, until full discovery was completed. The Court explained that reserving the right to assert a de</w:t>
      </w:r>
      <w:r w:rsidRPr="00EB6BC8">
        <w:rPr>
          <w:rFonts w:ascii="Times New Roman" w:hAnsi="Times New Roman" w:cs="Times New Roman"/>
          <w:sz w:val="28"/>
          <w:szCs w:val="28"/>
        </w:rPr>
        <w:softHyphen/>
        <w:t>fense in the future is not a sufficient pleading of the de</w:t>
      </w:r>
      <w:r w:rsidRPr="00EB6BC8">
        <w:rPr>
          <w:rFonts w:ascii="Times New Roman" w:hAnsi="Times New Roman" w:cs="Times New Roman"/>
          <w:sz w:val="28"/>
          <w:szCs w:val="28"/>
        </w:rPr>
        <w:softHyphen/>
        <w:t xml:space="preserve">fense of improper venue. </w:t>
      </w:r>
    </w:p>
    <w:p w14:paraId="219DB346" w14:textId="77777777" w:rsidR="00DC2187" w:rsidRPr="00EB6BC8" w:rsidRDefault="00DC2187" w:rsidP="00DC2187">
      <w:pPr>
        <w:spacing w:after="0"/>
        <w:rPr>
          <w:rFonts w:ascii="Times New Roman" w:hAnsi="Times New Roman" w:cs="Times New Roman"/>
          <w:sz w:val="28"/>
          <w:szCs w:val="28"/>
        </w:rPr>
      </w:pPr>
    </w:p>
    <w:p w14:paraId="39F35341" w14:textId="77777777" w:rsidR="00A56509" w:rsidRPr="00A56509" w:rsidRDefault="00DC2187" w:rsidP="00A56509">
      <w:pPr>
        <w:numPr>
          <w:ilvl w:val="0"/>
          <w:numId w:val="2"/>
        </w:numPr>
        <w:spacing w:after="0"/>
        <w:jc w:val="both"/>
        <w:rPr>
          <w:rFonts w:ascii="Times New Roman" w:hAnsi="Times New Roman" w:cs="Times New Roman"/>
          <w:b/>
          <w:bCs/>
          <w:i/>
          <w:iCs/>
          <w:sz w:val="28"/>
          <w:szCs w:val="28"/>
        </w:rPr>
      </w:pPr>
      <w:r w:rsidRPr="00A56509">
        <w:rPr>
          <w:rFonts w:ascii="Times New Roman" w:hAnsi="Times New Roman" w:cs="Times New Roman"/>
          <w:b/>
          <w:bCs/>
          <w:iCs/>
          <w:sz w:val="28"/>
          <w:szCs w:val="28"/>
        </w:rPr>
        <w:t>Venue/Jurisdiction—</w:t>
      </w:r>
      <w:r w:rsidRPr="00A56509">
        <w:rPr>
          <w:rFonts w:ascii="Times New Roman" w:hAnsi="Times New Roman" w:cs="Times New Roman"/>
          <w:b/>
          <w:bCs/>
          <w:i/>
          <w:iCs/>
          <w:sz w:val="28"/>
          <w:szCs w:val="28"/>
        </w:rPr>
        <w:t>Ex parte H.E.O., (M.B.F. v. H.E.O.)</w:t>
      </w:r>
      <w:r w:rsidR="00A56509" w:rsidRPr="00A56509">
        <w:rPr>
          <w:rFonts w:ascii="Times New Roman" w:hAnsi="Times New Roman" w:cs="Times New Roman"/>
          <w:b/>
          <w:bCs/>
          <w:i/>
          <w:iCs/>
          <w:sz w:val="28"/>
          <w:szCs w:val="28"/>
        </w:rPr>
        <w:t>, 2020 WL 6106924 (Ala. Civ. App. Oct. 16, 2020).</w:t>
      </w:r>
    </w:p>
    <w:p w14:paraId="46CDC1C0" w14:textId="77777777" w:rsidR="00DC2187" w:rsidRPr="008E26B9" w:rsidRDefault="00DC2187" w:rsidP="00DC2187">
      <w:pPr>
        <w:numPr>
          <w:ilvl w:val="0"/>
          <w:numId w:val="2"/>
        </w:numPr>
        <w:spacing w:after="0"/>
        <w:jc w:val="both"/>
        <w:rPr>
          <w:rFonts w:ascii="Times New Roman" w:hAnsi="Times New Roman" w:cs="Times New Roman"/>
          <w:b/>
          <w:sz w:val="28"/>
          <w:szCs w:val="28"/>
          <w:highlight w:val="yellow"/>
        </w:rPr>
      </w:pPr>
    </w:p>
    <w:p w14:paraId="5E8EB41F" w14:textId="77777777" w:rsidR="00DC2187" w:rsidRPr="00EB6BC8" w:rsidRDefault="00DC2187" w:rsidP="00DC2187">
      <w:pPr>
        <w:numPr>
          <w:ilvl w:val="0"/>
          <w:numId w:val="2"/>
        </w:numPr>
        <w:spacing w:after="0"/>
        <w:jc w:val="both"/>
        <w:rPr>
          <w:rFonts w:ascii="Times New Roman" w:hAnsi="Times New Roman" w:cs="Times New Roman"/>
          <w:sz w:val="28"/>
          <w:szCs w:val="28"/>
        </w:rPr>
      </w:pPr>
    </w:p>
    <w:p w14:paraId="23A0ED25" w14:textId="77777777" w:rsidR="00DC2187" w:rsidRPr="00EB6BC8" w:rsidRDefault="00DC2187" w:rsidP="00DC2187">
      <w:pPr>
        <w:numPr>
          <w:ilvl w:val="0"/>
          <w:numId w:val="2"/>
        </w:numPr>
        <w:spacing w:after="0"/>
        <w:jc w:val="both"/>
        <w:rPr>
          <w:rFonts w:ascii="Times New Roman" w:hAnsi="Times New Roman" w:cs="Times New Roman"/>
          <w:sz w:val="28"/>
          <w:szCs w:val="28"/>
        </w:rPr>
      </w:pPr>
      <w:r w:rsidRPr="00EB6BC8">
        <w:rPr>
          <w:rFonts w:ascii="Times New Roman" w:hAnsi="Times New Roman" w:cs="Times New Roman"/>
          <w:bCs/>
          <w:sz w:val="28"/>
          <w:szCs w:val="28"/>
        </w:rPr>
        <w:tab/>
        <w:t>Court of Civil Appeals grant</w:t>
      </w:r>
      <w:r w:rsidR="00FD46E8">
        <w:rPr>
          <w:rFonts w:ascii="Times New Roman" w:hAnsi="Times New Roman" w:cs="Times New Roman"/>
          <w:bCs/>
          <w:sz w:val="28"/>
          <w:szCs w:val="28"/>
        </w:rPr>
        <w:t>ed a writ of</w:t>
      </w:r>
      <w:r w:rsidRPr="00EB6BC8">
        <w:rPr>
          <w:rFonts w:ascii="Times New Roman" w:hAnsi="Times New Roman" w:cs="Times New Roman"/>
          <w:bCs/>
          <w:sz w:val="28"/>
          <w:szCs w:val="28"/>
        </w:rPr>
        <w:t xml:space="preserve"> mandamus and admonishe</w:t>
      </w:r>
      <w:r w:rsidR="00FD46E8">
        <w:rPr>
          <w:rFonts w:ascii="Times New Roman" w:hAnsi="Times New Roman" w:cs="Times New Roman"/>
          <w:bCs/>
          <w:sz w:val="28"/>
          <w:szCs w:val="28"/>
        </w:rPr>
        <w:t>d</w:t>
      </w:r>
      <w:r w:rsidRPr="00EB6BC8">
        <w:rPr>
          <w:rFonts w:ascii="Times New Roman" w:hAnsi="Times New Roman" w:cs="Times New Roman"/>
          <w:bCs/>
          <w:sz w:val="28"/>
          <w:szCs w:val="28"/>
        </w:rPr>
        <w:t xml:space="preserve"> trial courts that a court of improper venue should not order substantive relief when the action is due to be transferred. </w:t>
      </w:r>
    </w:p>
    <w:p w14:paraId="6FB65CC9" w14:textId="77777777" w:rsidR="00DC2187" w:rsidRPr="00EB6BC8" w:rsidRDefault="00DC2187" w:rsidP="00DC2187">
      <w:pPr>
        <w:spacing w:after="0"/>
        <w:jc w:val="both"/>
        <w:rPr>
          <w:rFonts w:ascii="Times New Roman" w:hAnsi="Times New Roman" w:cs="Times New Roman"/>
          <w:bCs/>
          <w:sz w:val="28"/>
          <w:szCs w:val="28"/>
        </w:rPr>
      </w:pPr>
    </w:p>
    <w:p w14:paraId="42127BA3" w14:textId="77777777" w:rsidR="00DC2187" w:rsidRPr="00EB6BC8" w:rsidRDefault="00DC2187" w:rsidP="00DC2187">
      <w:pPr>
        <w:spacing w:after="0"/>
        <w:jc w:val="both"/>
        <w:rPr>
          <w:rFonts w:ascii="Times New Roman" w:hAnsi="Times New Roman" w:cs="Times New Roman"/>
          <w:b/>
          <w:bCs/>
          <w:sz w:val="28"/>
          <w:szCs w:val="28"/>
        </w:rPr>
      </w:pPr>
      <w:r w:rsidRPr="00EB6BC8">
        <w:rPr>
          <w:rFonts w:ascii="Times New Roman" w:hAnsi="Times New Roman" w:cs="Times New Roman"/>
          <w:b/>
          <w:bCs/>
          <w:sz w:val="28"/>
          <w:szCs w:val="28"/>
        </w:rPr>
        <w:lastRenderedPageBreak/>
        <w:t>Relation Back/Real Party in Interest—</w:t>
      </w:r>
      <w:r w:rsidRPr="00EB6BC8">
        <w:rPr>
          <w:rFonts w:ascii="Times New Roman" w:hAnsi="Times New Roman" w:cs="Times New Roman"/>
          <w:b/>
          <w:bCs/>
          <w:i/>
          <w:iCs/>
          <w:sz w:val="28"/>
          <w:szCs w:val="28"/>
        </w:rPr>
        <w:t xml:space="preserve">Pollard v. H.C. </w:t>
      </w:r>
      <w:proofErr w:type="spellStart"/>
      <w:r w:rsidRPr="00EB6BC8">
        <w:rPr>
          <w:rFonts w:ascii="Times New Roman" w:hAnsi="Times New Roman" w:cs="Times New Roman"/>
          <w:b/>
          <w:bCs/>
          <w:i/>
          <w:iCs/>
          <w:sz w:val="28"/>
          <w:szCs w:val="28"/>
        </w:rPr>
        <w:t>P’ship</w:t>
      </w:r>
      <w:proofErr w:type="spellEnd"/>
      <w:r w:rsidRPr="00EB6BC8">
        <w:rPr>
          <w:rFonts w:ascii="Times New Roman" w:hAnsi="Times New Roman" w:cs="Times New Roman"/>
          <w:b/>
          <w:bCs/>
          <w:sz w:val="28"/>
          <w:szCs w:val="28"/>
        </w:rPr>
        <w:t xml:space="preserve">, 2020 WL 1226488 (Mar. 13, 2020) </w:t>
      </w:r>
    </w:p>
    <w:p w14:paraId="5A1DF65A" w14:textId="77777777" w:rsidR="00DC2187" w:rsidRPr="00EB6BC8" w:rsidRDefault="00DC2187" w:rsidP="00DC2187">
      <w:pPr>
        <w:spacing w:after="0"/>
        <w:jc w:val="both"/>
        <w:rPr>
          <w:rFonts w:ascii="Times New Roman" w:hAnsi="Times New Roman" w:cs="Times New Roman"/>
          <w:sz w:val="28"/>
          <w:szCs w:val="28"/>
        </w:rPr>
      </w:pPr>
    </w:p>
    <w:p w14:paraId="4A80C83D" w14:textId="77777777" w:rsidR="00DC2187" w:rsidRPr="00EB6BC8" w:rsidRDefault="00DC2187" w:rsidP="00DC2187">
      <w:pPr>
        <w:spacing w:after="0"/>
        <w:jc w:val="both"/>
        <w:rPr>
          <w:rFonts w:ascii="Times New Roman" w:hAnsi="Times New Roman" w:cs="Times New Roman"/>
          <w:b/>
          <w:bCs/>
          <w:sz w:val="28"/>
          <w:szCs w:val="28"/>
        </w:rPr>
      </w:pPr>
      <w:r w:rsidRPr="00EB6BC8">
        <w:rPr>
          <w:rFonts w:ascii="Times New Roman" w:hAnsi="Times New Roman" w:cs="Times New Roman"/>
          <w:sz w:val="28"/>
          <w:szCs w:val="28"/>
        </w:rPr>
        <w:tab/>
        <w:t>On May 7, 2017, the estate of Young sued Hill Crest alleging Hill Crest caused Young’s death on May 9, 2015 by improperly administering drugs to Young. On May 8, 2017, the probate court appointed Pollard as administrator of Young’s estate. On May 9, 2017, the two</w:t>
      </w:r>
      <w:r w:rsidR="008A03E4">
        <w:rPr>
          <w:rFonts w:ascii="Times New Roman" w:hAnsi="Times New Roman" w:cs="Times New Roman"/>
          <w:sz w:val="28"/>
          <w:szCs w:val="28"/>
        </w:rPr>
        <w:t>-</w:t>
      </w:r>
      <w:r w:rsidRPr="00EB6BC8">
        <w:rPr>
          <w:rFonts w:ascii="Times New Roman" w:hAnsi="Times New Roman" w:cs="Times New Roman"/>
          <w:sz w:val="28"/>
          <w:szCs w:val="28"/>
        </w:rPr>
        <w:t>year limitations period expired. On June 15, 2017, the estate filed an amended complaint adding additional claims against Hill Crest. In January 2019, Hill Crest filed a summary judgment motion arguing Pollard was not the personal rep</w:t>
      </w:r>
      <w:r w:rsidRPr="00EB6BC8">
        <w:rPr>
          <w:rFonts w:ascii="Times New Roman" w:hAnsi="Times New Roman" w:cs="Times New Roman"/>
          <w:sz w:val="28"/>
          <w:szCs w:val="28"/>
        </w:rPr>
        <w:softHyphen/>
        <w:t>resentative of Young’s estate when the complaint was filed on May 7, 2017 and lacked the capacity to bring suit. It further argued the relation-back doctrine did not apply because the May 7, 2017 com</w:t>
      </w:r>
      <w:r w:rsidRPr="00EB6BC8">
        <w:rPr>
          <w:rFonts w:ascii="Times New Roman" w:hAnsi="Times New Roman" w:cs="Times New Roman"/>
          <w:sz w:val="28"/>
          <w:szCs w:val="28"/>
        </w:rPr>
        <w:softHyphen/>
        <w:t>plaint was a nullity and there was no properly filed underlying action to which Pollard’s subsequent ap</w:t>
      </w:r>
      <w:r w:rsidRPr="00EB6BC8">
        <w:rPr>
          <w:rFonts w:ascii="Times New Roman" w:hAnsi="Times New Roman" w:cs="Times New Roman"/>
          <w:sz w:val="28"/>
          <w:szCs w:val="28"/>
        </w:rPr>
        <w:softHyphen/>
        <w:t xml:space="preserve">pointment as personal representative could relate. After a hearing, the trial court entered a summary judgment in favor of Hill Crest. Pollard appealed. The </w:t>
      </w:r>
      <w:proofErr w:type="spellStart"/>
      <w:r w:rsidRPr="00EB6BC8">
        <w:rPr>
          <w:rFonts w:ascii="Times New Roman" w:hAnsi="Times New Roman" w:cs="Times New Roman"/>
          <w:sz w:val="28"/>
          <w:szCs w:val="28"/>
        </w:rPr>
        <w:t>Alabma</w:t>
      </w:r>
      <w:proofErr w:type="spellEnd"/>
      <w:r w:rsidRPr="00EB6BC8">
        <w:rPr>
          <w:rFonts w:ascii="Times New Roman" w:hAnsi="Times New Roman" w:cs="Times New Roman"/>
          <w:sz w:val="28"/>
          <w:szCs w:val="28"/>
        </w:rPr>
        <w:t xml:space="preserve"> Supreme Court reversed the trial court's decision.</w:t>
      </w:r>
      <w:r w:rsidRPr="00EB6BC8">
        <w:rPr>
          <w:rFonts w:ascii="Times New Roman" w:hAnsi="Times New Roman" w:cs="Times New Roman"/>
          <w:b/>
          <w:bCs/>
          <w:sz w:val="28"/>
          <w:szCs w:val="28"/>
        </w:rPr>
        <w:t xml:space="preserve"> </w:t>
      </w:r>
    </w:p>
    <w:p w14:paraId="498EBB6E" w14:textId="77777777" w:rsidR="00DC2187" w:rsidRPr="00EB6BC8" w:rsidRDefault="00DC2187" w:rsidP="00DC2187">
      <w:pPr>
        <w:spacing w:after="0"/>
        <w:jc w:val="both"/>
        <w:rPr>
          <w:rFonts w:ascii="Times New Roman" w:hAnsi="Times New Roman" w:cs="Times New Roman"/>
          <w:b/>
          <w:bCs/>
          <w:sz w:val="28"/>
          <w:szCs w:val="28"/>
        </w:rPr>
      </w:pPr>
    </w:p>
    <w:p w14:paraId="03B93AB0"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The Court stated that </w:t>
      </w:r>
      <w:r w:rsidR="000D6191">
        <w:rPr>
          <w:rFonts w:ascii="Times New Roman" w:hAnsi="Times New Roman" w:cs="Times New Roman"/>
          <w:sz w:val="28"/>
          <w:szCs w:val="28"/>
        </w:rPr>
        <w:t xml:space="preserve">Alabama </w:t>
      </w:r>
      <w:r w:rsidRPr="00EB6BC8">
        <w:rPr>
          <w:rFonts w:ascii="Times New Roman" w:hAnsi="Times New Roman" w:cs="Times New Roman"/>
          <w:sz w:val="28"/>
          <w:szCs w:val="28"/>
        </w:rPr>
        <w:t>Rule</w:t>
      </w:r>
      <w:r w:rsidR="000D6191">
        <w:rPr>
          <w:rFonts w:ascii="Times New Roman" w:hAnsi="Times New Roman" w:cs="Times New Roman"/>
          <w:sz w:val="28"/>
          <w:szCs w:val="28"/>
        </w:rPr>
        <w:t xml:space="preserve"> of Civil Procedure</w:t>
      </w:r>
      <w:r w:rsidRPr="00EB6BC8">
        <w:rPr>
          <w:rFonts w:ascii="Times New Roman" w:hAnsi="Times New Roman" w:cs="Times New Roman"/>
          <w:sz w:val="28"/>
          <w:szCs w:val="28"/>
        </w:rPr>
        <w:t xml:space="preserve"> 17(a), suggests that so long as capacity exists before the limitations period expires, the wife, after being ap</w:t>
      </w:r>
      <w:r w:rsidRPr="00EB6BC8">
        <w:rPr>
          <w:rFonts w:ascii="Times New Roman" w:hAnsi="Times New Roman" w:cs="Times New Roman"/>
          <w:sz w:val="28"/>
          <w:szCs w:val="28"/>
        </w:rPr>
        <w:softHyphen/>
        <w:t>pointed administratrix within the limitations period, may then, as the real party in interest, ratify the com</w:t>
      </w:r>
      <w:r w:rsidRPr="00EB6BC8">
        <w:rPr>
          <w:rFonts w:ascii="Times New Roman" w:hAnsi="Times New Roman" w:cs="Times New Roman"/>
          <w:sz w:val="28"/>
          <w:szCs w:val="28"/>
        </w:rPr>
        <w:softHyphen/>
        <w:t>mencement of the action. Thus, with respect to rati</w:t>
      </w:r>
      <w:r w:rsidRPr="00EB6BC8">
        <w:rPr>
          <w:rFonts w:ascii="Times New Roman" w:hAnsi="Times New Roman" w:cs="Times New Roman"/>
          <w:sz w:val="28"/>
          <w:szCs w:val="28"/>
        </w:rPr>
        <w:softHyphen/>
        <w:t>fication, Rule 17(a) provides: No action shall be dis</w:t>
      </w:r>
      <w:r w:rsidRPr="00EB6BC8">
        <w:rPr>
          <w:rFonts w:ascii="Times New Roman" w:hAnsi="Times New Roman" w:cs="Times New Roman"/>
          <w:sz w:val="28"/>
          <w:szCs w:val="28"/>
        </w:rPr>
        <w:softHyphen/>
        <w:t>missed on the ground it is not prosecuted in the name of the real party in interest until a reasonable time has been allowed after objection for ratification of commencement of the action by, or joinder or sub</w:t>
      </w:r>
      <w:r w:rsidRPr="00EB6BC8">
        <w:rPr>
          <w:rFonts w:ascii="Times New Roman" w:hAnsi="Times New Roman" w:cs="Times New Roman"/>
          <w:sz w:val="28"/>
          <w:szCs w:val="28"/>
        </w:rPr>
        <w:softHyphen/>
        <w:t>stitution of, the real party in interest; and such ratifi</w:t>
      </w:r>
      <w:r w:rsidRPr="00EB6BC8">
        <w:rPr>
          <w:rFonts w:ascii="Times New Roman" w:hAnsi="Times New Roman" w:cs="Times New Roman"/>
          <w:sz w:val="28"/>
          <w:szCs w:val="28"/>
        </w:rPr>
        <w:softHyphen/>
        <w:t>cation, joinder, or substitution shall have the same ef</w:t>
      </w:r>
      <w:r w:rsidRPr="00EB6BC8">
        <w:rPr>
          <w:rFonts w:ascii="Times New Roman" w:hAnsi="Times New Roman" w:cs="Times New Roman"/>
          <w:sz w:val="28"/>
          <w:szCs w:val="28"/>
        </w:rPr>
        <w:softHyphen/>
        <w:t>fect as if the action had been commenced in the name of the real party in interest. The Court recognized that recent cases have held the subsequent appoint</w:t>
      </w:r>
      <w:r w:rsidRPr="00EB6BC8">
        <w:rPr>
          <w:rFonts w:ascii="Times New Roman" w:hAnsi="Times New Roman" w:cs="Times New Roman"/>
          <w:sz w:val="28"/>
          <w:szCs w:val="28"/>
        </w:rPr>
        <w:softHyphen/>
        <w:t>ment of a personal representative did not relate back to the filing of the original complaint</w:t>
      </w:r>
      <w:r w:rsidR="000D6191">
        <w:rPr>
          <w:rFonts w:ascii="Times New Roman" w:hAnsi="Times New Roman" w:cs="Times New Roman"/>
          <w:sz w:val="28"/>
          <w:szCs w:val="28"/>
        </w:rPr>
        <w:t>. However,</w:t>
      </w:r>
      <w:r w:rsidRPr="00EB6BC8">
        <w:rPr>
          <w:rFonts w:ascii="Times New Roman" w:hAnsi="Times New Roman" w:cs="Times New Roman"/>
          <w:sz w:val="28"/>
          <w:szCs w:val="28"/>
        </w:rPr>
        <w:t xml:space="preserve"> those cases involved situations where the appointment of the personal representative did not occur until after the </w:t>
      </w:r>
      <w:proofErr w:type="gramStart"/>
      <w:r w:rsidRPr="00EB6BC8">
        <w:rPr>
          <w:rFonts w:ascii="Times New Roman" w:hAnsi="Times New Roman" w:cs="Times New Roman"/>
          <w:sz w:val="28"/>
          <w:szCs w:val="28"/>
        </w:rPr>
        <w:t>two year</w:t>
      </w:r>
      <w:proofErr w:type="gramEnd"/>
      <w:r w:rsidRPr="00EB6BC8">
        <w:rPr>
          <w:rFonts w:ascii="Times New Roman" w:hAnsi="Times New Roman" w:cs="Times New Roman"/>
          <w:sz w:val="28"/>
          <w:szCs w:val="28"/>
        </w:rPr>
        <w:t xml:space="preserve"> limitations had expired. </w:t>
      </w:r>
    </w:p>
    <w:p w14:paraId="740D2F9A" w14:textId="77777777" w:rsidR="00DC2187" w:rsidRPr="00EB6BC8" w:rsidRDefault="00DC2187" w:rsidP="00DC2187">
      <w:pPr>
        <w:spacing w:after="0"/>
        <w:jc w:val="both"/>
        <w:rPr>
          <w:rFonts w:ascii="Times New Roman" w:hAnsi="Times New Roman" w:cs="Times New Roman"/>
          <w:sz w:val="28"/>
          <w:szCs w:val="28"/>
        </w:rPr>
      </w:pPr>
    </w:p>
    <w:p w14:paraId="38E81398" w14:textId="77777777" w:rsidR="00DC2187" w:rsidRPr="00EB6BC8" w:rsidRDefault="00DC2187" w:rsidP="00DC2187">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Personal jurisdiction—</w:t>
      </w:r>
      <w:r w:rsidRPr="00EB6BC8">
        <w:rPr>
          <w:rFonts w:ascii="Times New Roman" w:hAnsi="Times New Roman" w:cs="Times New Roman"/>
          <w:b/>
          <w:bCs/>
          <w:i/>
          <w:iCs/>
          <w:sz w:val="28"/>
          <w:szCs w:val="28"/>
        </w:rPr>
        <w:t>Ex parte Aladdin Mfg. Corp.</w:t>
      </w:r>
      <w:r w:rsidRPr="00EB6BC8">
        <w:rPr>
          <w:rFonts w:ascii="Times New Roman" w:hAnsi="Times New Roman" w:cs="Times New Roman"/>
          <w:b/>
          <w:bCs/>
          <w:sz w:val="28"/>
          <w:szCs w:val="28"/>
        </w:rPr>
        <w:t>, 2019 WL 6974629 (Ala. Dec. 20, 2019)</w:t>
      </w:r>
      <w:r w:rsidRPr="00EB6BC8">
        <w:rPr>
          <w:rFonts w:ascii="Times New Roman" w:hAnsi="Times New Roman" w:cs="Times New Roman"/>
          <w:b/>
          <w:bCs/>
          <w:iCs/>
          <w:sz w:val="28"/>
          <w:szCs w:val="28"/>
        </w:rPr>
        <w:t xml:space="preserve"> </w:t>
      </w:r>
    </w:p>
    <w:p w14:paraId="3A447062" w14:textId="77777777" w:rsidR="00DC2187" w:rsidRPr="00EB6BC8" w:rsidRDefault="00DC2187" w:rsidP="00DC2187">
      <w:pPr>
        <w:spacing w:after="0"/>
        <w:jc w:val="both"/>
        <w:rPr>
          <w:rFonts w:ascii="Times New Roman" w:hAnsi="Times New Roman" w:cs="Times New Roman"/>
          <w:sz w:val="28"/>
          <w:szCs w:val="28"/>
        </w:rPr>
      </w:pPr>
    </w:p>
    <w:p w14:paraId="6E9821FC"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In the complaint, Centre Water alleged Georgia carpet manufacturers released chemicals that contaminated Centre Water’s water-intake site. The defenda</w:t>
      </w:r>
      <w:r w:rsidR="000729A8">
        <w:rPr>
          <w:rFonts w:ascii="Times New Roman" w:hAnsi="Times New Roman" w:cs="Times New Roman"/>
          <w:sz w:val="28"/>
          <w:szCs w:val="28"/>
        </w:rPr>
        <w:t xml:space="preserve">nts </w:t>
      </w:r>
      <w:r w:rsidR="000729A8">
        <w:rPr>
          <w:rFonts w:ascii="Times New Roman" w:hAnsi="Times New Roman" w:cs="Times New Roman"/>
          <w:sz w:val="28"/>
          <w:szCs w:val="28"/>
        </w:rPr>
        <w:lastRenderedPageBreak/>
        <w:t>moved to dismiss the action</w:t>
      </w:r>
      <w:r w:rsidRPr="00EB6BC8">
        <w:rPr>
          <w:rFonts w:ascii="Times New Roman" w:hAnsi="Times New Roman" w:cs="Times New Roman"/>
          <w:sz w:val="28"/>
          <w:szCs w:val="28"/>
        </w:rPr>
        <w:t>, asserting lack of personal jurisdic</w:t>
      </w:r>
      <w:r w:rsidRPr="00EB6BC8">
        <w:rPr>
          <w:rFonts w:ascii="Times New Roman" w:hAnsi="Times New Roman" w:cs="Times New Roman"/>
          <w:sz w:val="28"/>
          <w:szCs w:val="28"/>
        </w:rPr>
        <w:softHyphen/>
        <w:t>tion. The trial court found the defendants conducted activity directed at Alabama, and it was reason</w:t>
      </w:r>
      <w:r w:rsidRPr="00EB6BC8">
        <w:rPr>
          <w:rFonts w:ascii="Times New Roman" w:hAnsi="Times New Roman" w:cs="Times New Roman"/>
          <w:sz w:val="28"/>
          <w:szCs w:val="28"/>
        </w:rPr>
        <w:softHyphen/>
        <w:t xml:space="preserve">able for an entity placing substances into the water to expect their downstream harm could cause them to be to </w:t>
      </w:r>
      <w:proofErr w:type="gramStart"/>
      <w:r w:rsidRPr="00EB6BC8">
        <w:rPr>
          <w:rFonts w:ascii="Times New Roman" w:hAnsi="Times New Roman" w:cs="Times New Roman"/>
          <w:sz w:val="28"/>
          <w:szCs w:val="28"/>
        </w:rPr>
        <w:t>hauled</w:t>
      </w:r>
      <w:proofErr w:type="gramEnd"/>
      <w:r w:rsidRPr="00EB6BC8">
        <w:rPr>
          <w:rFonts w:ascii="Times New Roman" w:hAnsi="Times New Roman" w:cs="Times New Roman"/>
          <w:sz w:val="28"/>
          <w:szCs w:val="28"/>
        </w:rPr>
        <w:t xml:space="preserve"> into court </w:t>
      </w:r>
      <w:r w:rsidR="000729A8">
        <w:rPr>
          <w:rFonts w:ascii="Times New Roman" w:hAnsi="Times New Roman" w:cs="Times New Roman"/>
          <w:sz w:val="28"/>
          <w:szCs w:val="28"/>
        </w:rPr>
        <w:t>in Alabama</w:t>
      </w:r>
      <w:r w:rsidRPr="00EB6BC8">
        <w:rPr>
          <w:rFonts w:ascii="Times New Roman" w:hAnsi="Times New Roman" w:cs="Times New Roman"/>
          <w:sz w:val="28"/>
          <w:szCs w:val="28"/>
        </w:rPr>
        <w:t xml:space="preserve">. The defendants appealed. </w:t>
      </w:r>
    </w:p>
    <w:p w14:paraId="5D5CBE33" w14:textId="77777777" w:rsidR="00DC2187" w:rsidRPr="00EB6BC8" w:rsidRDefault="00DC2187" w:rsidP="00DC2187">
      <w:pPr>
        <w:spacing w:after="0"/>
        <w:jc w:val="both"/>
        <w:rPr>
          <w:rFonts w:ascii="Times New Roman" w:hAnsi="Times New Roman" w:cs="Times New Roman"/>
          <w:sz w:val="28"/>
          <w:szCs w:val="28"/>
        </w:rPr>
      </w:pPr>
    </w:p>
    <w:p w14:paraId="49F99BE5"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Turning to decisions in other jurisdictions, the Alabama Supreme Court held that continuing to release a substance while knowing it travels to a jurisdiction is considered purposeful direction of efforts toward that jurisdiction. The Court concluded the injury in this case indisputably occurred in Alabama, therefore the tort occurred here. </w:t>
      </w:r>
    </w:p>
    <w:p w14:paraId="07DE7337" w14:textId="77777777" w:rsidR="00DC2187" w:rsidRPr="00EB6BC8" w:rsidRDefault="00DC2187" w:rsidP="00DC2187">
      <w:pPr>
        <w:spacing w:after="0"/>
        <w:jc w:val="both"/>
        <w:rPr>
          <w:rFonts w:ascii="Times New Roman" w:hAnsi="Times New Roman" w:cs="Times New Roman"/>
          <w:sz w:val="28"/>
          <w:szCs w:val="28"/>
        </w:rPr>
      </w:pPr>
    </w:p>
    <w:p w14:paraId="7BF6C258"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Court conducted a minimum contacts analysis, which required it to determine whether the remaining defen</w:t>
      </w:r>
      <w:r w:rsidRPr="00EB6BC8">
        <w:rPr>
          <w:rFonts w:ascii="Times New Roman" w:hAnsi="Times New Roman" w:cs="Times New Roman"/>
          <w:sz w:val="28"/>
          <w:szCs w:val="28"/>
        </w:rPr>
        <w:softHyphen/>
        <w:t>dants purposefully availed themselves of the privilege of conducting activities within Alabama, which could be satisfied by showing that the defendants purposefully directed their actions at Alabama. The Court concluded that the defendants know</w:t>
      </w:r>
      <w:r w:rsidRPr="00EB6BC8">
        <w:rPr>
          <w:rFonts w:ascii="Times New Roman" w:hAnsi="Times New Roman" w:cs="Times New Roman"/>
          <w:sz w:val="28"/>
          <w:szCs w:val="28"/>
        </w:rPr>
        <w:softHyphen/>
        <w:t>ingly discharged chemicals into their industrial wastewater, which traveled to a Georgia municipality's util</w:t>
      </w:r>
      <w:r w:rsidRPr="00EB6BC8">
        <w:rPr>
          <w:rFonts w:ascii="Times New Roman" w:hAnsi="Times New Roman" w:cs="Times New Roman"/>
          <w:sz w:val="28"/>
          <w:szCs w:val="28"/>
        </w:rPr>
        <w:softHyphen/>
        <w:t>ities’ facility, where the defendants knew it was being ineffectively treated. The defendants fur</w:t>
      </w:r>
      <w:r w:rsidRPr="00EB6BC8">
        <w:rPr>
          <w:rFonts w:ascii="Times New Roman" w:hAnsi="Times New Roman" w:cs="Times New Roman"/>
          <w:sz w:val="28"/>
          <w:szCs w:val="28"/>
        </w:rPr>
        <w:softHyphen/>
        <w:t>ther knew the chemicals entered the Coosa River into Alabama. Publicly available EPA reports and published studies demonstrate the defendants had been placed on notice</w:t>
      </w:r>
      <w:r w:rsidR="000729A8">
        <w:rPr>
          <w:rFonts w:ascii="Times New Roman" w:hAnsi="Times New Roman" w:cs="Times New Roman"/>
          <w:sz w:val="28"/>
          <w:szCs w:val="28"/>
        </w:rPr>
        <w:t xml:space="preserve"> </w:t>
      </w:r>
      <w:r w:rsidRPr="00EB6BC8">
        <w:rPr>
          <w:rFonts w:ascii="Times New Roman" w:hAnsi="Times New Roman" w:cs="Times New Roman"/>
          <w:sz w:val="28"/>
          <w:szCs w:val="28"/>
        </w:rPr>
        <w:t>the chemicals were polluting the Coosa River upstream from where the injuries occurred. The trial court's order denying the plaintiff's motion to dismiss was affirmed.</w:t>
      </w:r>
    </w:p>
    <w:p w14:paraId="448AA11B" w14:textId="77777777" w:rsidR="00DC2187" w:rsidRPr="00EB6BC8" w:rsidRDefault="00DC2187" w:rsidP="00DC2187">
      <w:pPr>
        <w:spacing w:after="0"/>
        <w:jc w:val="both"/>
        <w:rPr>
          <w:rFonts w:ascii="Times New Roman" w:hAnsi="Times New Roman" w:cs="Times New Roman"/>
          <w:sz w:val="28"/>
          <w:szCs w:val="28"/>
        </w:rPr>
      </w:pPr>
    </w:p>
    <w:p w14:paraId="15535B75" w14:textId="77777777" w:rsidR="00DC2187" w:rsidRPr="00EB6BC8" w:rsidRDefault="00DC2187" w:rsidP="00DC2187">
      <w:pPr>
        <w:spacing w:after="0"/>
        <w:jc w:val="both"/>
        <w:rPr>
          <w:rFonts w:ascii="Times New Roman" w:hAnsi="Times New Roman" w:cs="Times New Roman"/>
          <w:b/>
          <w:bCs/>
          <w:sz w:val="28"/>
          <w:szCs w:val="28"/>
        </w:rPr>
      </w:pPr>
      <w:r w:rsidRPr="00EB6BC8">
        <w:rPr>
          <w:rFonts w:ascii="Times New Roman" w:hAnsi="Times New Roman" w:cs="Times New Roman"/>
          <w:b/>
          <w:bCs/>
          <w:sz w:val="28"/>
          <w:szCs w:val="28"/>
        </w:rPr>
        <w:t>Recusal/Subject Matter Jurisdiction—</w:t>
      </w:r>
      <w:r w:rsidRPr="00EB6BC8">
        <w:rPr>
          <w:rFonts w:ascii="Times New Roman" w:hAnsi="Times New Roman" w:cs="Times New Roman"/>
          <w:b/>
          <w:bCs/>
          <w:i/>
          <w:iCs/>
          <w:sz w:val="28"/>
          <w:szCs w:val="28"/>
        </w:rPr>
        <w:t>Lawler Mfg. Co., Inc. v. Lawler</w:t>
      </w:r>
      <w:r w:rsidRPr="00EB6BC8">
        <w:rPr>
          <w:rFonts w:ascii="Times New Roman" w:hAnsi="Times New Roman" w:cs="Times New Roman"/>
          <w:b/>
          <w:bCs/>
          <w:sz w:val="28"/>
          <w:szCs w:val="28"/>
        </w:rPr>
        <w:t xml:space="preserve">, 2020 WL 1482377 (Ala. Mar. 27, 2020) </w:t>
      </w:r>
    </w:p>
    <w:p w14:paraId="39E85864" w14:textId="77777777" w:rsidR="00DC2187" w:rsidRPr="00EB6BC8" w:rsidRDefault="00DC2187" w:rsidP="00DC2187">
      <w:pPr>
        <w:spacing w:after="0"/>
        <w:jc w:val="both"/>
        <w:rPr>
          <w:rFonts w:ascii="Times New Roman" w:hAnsi="Times New Roman" w:cs="Times New Roman"/>
          <w:sz w:val="28"/>
          <w:szCs w:val="28"/>
        </w:rPr>
      </w:pPr>
    </w:p>
    <w:p w14:paraId="2193D9B5"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The case was assigned to </w:t>
      </w:r>
      <w:r w:rsidR="00970776">
        <w:rPr>
          <w:rFonts w:ascii="Times New Roman" w:hAnsi="Times New Roman" w:cs="Times New Roman"/>
          <w:sz w:val="28"/>
          <w:szCs w:val="28"/>
        </w:rPr>
        <w:t xml:space="preserve">the </w:t>
      </w:r>
      <w:r w:rsidRPr="00EB6BC8">
        <w:rPr>
          <w:rFonts w:ascii="Times New Roman" w:hAnsi="Times New Roman" w:cs="Times New Roman"/>
          <w:sz w:val="28"/>
          <w:szCs w:val="28"/>
        </w:rPr>
        <w:t xml:space="preserve">Presiding Circuit Judge. </w:t>
      </w:r>
      <w:r w:rsidR="00970776">
        <w:rPr>
          <w:rFonts w:ascii="Times New Roman" w:hAnsi="Times New Roman" w:cs="Times New Roman"/>
          <w:sz w:val="28"/>
          <w:szCs w:val="28"/>
        </w:rPr>
        <w:t xml:space="preserve">The Presiding Judge </w:t>
      </w:r>
      <w:r w:rsidRPr="00EB6BC8">
        <w:rPr>
          <w:rFonts w:ascii="Times New Roman" w:hAnsi="Times New Roman" w:cs="Times New Roman"/>
          <w:sz w:val="28"/>
          <w:szCs w:val="28"/>
        </w:rPr>
        <w:t>re</w:t>
      </w:r>
      <w:r w:rsidRPr="00EB6BC8">
        <w:rPr>
          <w:rFonts w:ascii="Times New Roman" w:hAnsi="Times New Roman" w:cs="Times New Roman"/>
          <w:sz w:val="28"/>
          <w:szCs w:val="28"/>
        </w:rPr>
        <w:softHyphen/>
        <w:t xml:space="preserve">cused himself and entered a separate order appointing a district court judge to hear the case as an ex officio circuit judge. </w:t>
      </w:r>
    </w:p>
    <w:p w14:paraId="4013C561" w14:textId="77777777" w:rsidR="00DC2187" w:rsidRPr="00EB6BC8" w:rsidRDefault="00DC2187" w:rsidP="00DC2187">
      <w:pPr>
        <w:spacing w:after="0"/>
        <w:jc w:val="both"/>
        <w:rPr>
          <w:rFonts w:ascii="Times New Roman" w:hAnsi="Times New Roman" w:cs="Times New Roman"/>
          <w:sz w:val="28"/>
          <w:szCs w:val="28"/>
        </w:rPr>
      </w:pPr>
    </w:p>
    <w:p w14:paraId="5187DECC"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952B8C">
        <w:rPr>
          <w:rFonts w:ascii="Times New Roman" w:hAnsi="Times New Roman" w:cs="Times New Roman"/>
          <w:sz w:val="28"/>
          <w:szCs w:val="28"/>
        </w:rPr>
        <w:t xml:space="preserve">The Presiding </w:t>
      </w:r>
      <w:r w:rsidRPr="00EB6BC8">
        <w:rPr>
          <w:rFonts w:ascii="Times New Roman" w:hAnsi="Times New Roman" w:cs="Times New Roman"/>
          <w:sz w:val="28"/>
          <w:szCs w:val="28"/>
        </w:rPr>
        <w:t xml:space="preserve">Judge later entered an order concerning Lawler Manufacturing's business operations. Lawler Manufacturing moved to dissolve the order. </w:t>
      </w:r>
      <w:r w:rsidR="00952B8C">
        <w:rPr>
          <w:rFonts w:ascii="Times New Roman" w:hAnsi="Times New Roman" w:cs="Times New Roman"/>
          <w:sz w:val="28"/>
          <w:szCs w:val="28"/>
        </w:rPr>
        <w:t>The ex</w:t>
      </w:r>
      <w:r w:rsidR="00430406">
        <w:rPr>
          <w:rFonts w:ascii="Times New Roman" w:hAnsi="Times New Roman" w:cs="Times New Roman"/>
          <w:sz w:val="28"/>
          <w:szCs w:val="28"/>
        </w:rPr>
        <w:t xml:space="preserve"> </w:t>
      </w:r>
      <w:r w:rsidR="00952B8C">
        <w:rPr>
          <w:rFonts w:ascii="Times New Roman" w:hAnsi="Times New Roman" w:cs="Times New Roman"/>
          <w:sz w:val="28"/>
          <w:szCs w:val="28"/>
        </w:rPr>
        <w:t>officio judge</w:t>
      </w:r>
      <w:r w:rsidRPr="00EB6BC8">
        <w:rPr>
          <w:rFonts w:ascii="Times New Roman" w:hAnsi="Times New Roman" w:cs="Times New Roman"/>
          <w:sz w:val="28"/>
          <w:szCs w:val="28"/>
        </w:rPr>
        <w:t xml:space="preserve"> denied the motion and Lawler Manufacturing appealed.</w:t>
      </w:r>
    </w:p>
    <w:p w14:paraId="647B19AA" w14:textId="77777777" w:rsidR="00DC2187" w:rsidRPr="00EB6BC8" w:rsidRDefault="00DC2187" w:rsidP="00DC2187">
      <w:pPr>
        <w:spacing w:after="0"/>
        <w:jc w:val="both"/>
        <w:rPr>
          <w:rFonts w:ascii="Times New Roman" w:hAnsi="Times New Roman" w:cs="Times New Roman"/>
          <w:sz w:val="28"/>
          <w:szCs w:val="28"/>
        </w:rPr>
      </w:pPr>
    </w:p>
    <w:p w14:paraId="61947BA0"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952B8C">
        <w:rPr>
          <w:rFonts w:ascii="Times New Roman" w:hAnsi="Times New Roman" w:cs="Times New Roman"/>
          <w:sz w:val="28"/>
          <w:szCs w:val="28"/>
        </w:rPr>
        <w:t>The Alabama Supreme Court held a</w:t>
      </w:r>
      <w:r w:rsidRPr="00EB6BC8">
        <w:rPr>
          <w:rFonts w:ascii="Times New Roman" w:hAnsi="Times New Roman" w:cs="Times New Roman"/>
          <w:sz w:val="28"/>
          <w:szCs w:val="28"/>
        </w:rPr>
        <w:t xml:space="preserve"> presiding judge who recuses </w:t>
      </w:r>
      <w:proofErr w:type="gramStart"/>
      <w:r w:rsidRPr="00EB6BC8">
        <w:rPr>
          <w:rFonts w:ascii="Times New Roman" w:hAnsi="Times New Roman" w:cs="Times New Roman"/>
          <w:sz w:val="28"/>
          <w:szCs w:val="28"/>
        </w:rPr>
        <w:t>himself  does</w:t>
      </w:r>
      <w:proofErr w:type="gramEnd"/>
      <w:r w:rsidRPr="00EB6BC8">
        <w:rPr>
          <w:rFonts w:ascii="Times New Roman" w:hAnsi="Times New Roman" w:cs="Times New Roman"/>
          <w:sz w:val="28"/>
          <w:szCs w:val="28"/>
        </w:rPr>
        <w:t xml:space="preserve"> not have authority to appoint his successor. </w:t>
      </w:r>
      <w:r w:rsidR="00952B8C">
        <w:rPr>
          <w:rFonts w:ascii="Times New Roman" w:hAnsi="Times New Roman" w:cs="Times New Roman"/>
          <w:sz w:val="28"/>
          <w:szCs w:val="28"/>
        </w:rPr>
        <w:t>The judge</w:t>
      </w:r>
      <w:r w:rsidRPr="00EB6BC8">
        <w:rPr>
          <w:rFonts w:ascii="Times New Roman" w:hAnsi="Times New Roman" w:cs="Times New Roman"/>
          <w:sz w:val="28"/>
          <w:szCs w:val="28"/>
        </w:rPr>
        <w:t xml:space="preserve"> can take no further action in </w:t>
      </w:r>
      <w:r w:rsidRPr="00EB6BC8">
        <w:rPr>
          <w:rFonts w:ascii="Times New Roman" w:hAnsi="Times New Roman" w:cs="Times New Roman"/>
          <w:sz w:val="28"/>
          <w:szCs w:val="28"/>
        </w:rPr>
        <w:lastRenderedPageBreak/>
        <w:t>th</w:t>
      </w:r>
      <w:r w:rsidR="00952B8C">
        <w:rPr>
          <w:rFonts w:ascii="Times New Roman" w:hAnsi="Times New Roman" w:cs="Times New Roman"/>
          <w:sz w:val="28"/>
          <w:szCs w:val="28"/>
        </w:rPr>
        <w:t>e</w:t>
      </w:r>
      <w:r w:rsidRPr="00EB6BC8">
        <w:rPr>
          <w:rFonts w:ascii="Times New Roman" w:hAnsi="Times New Roman" w:cs="Times New Roman"/>
          <w:sz w:val="28"/>
          <w:szCs w:val="28"/>
        </w:rPr>
        <w:t xml:space="preserve"> case, not even the action of reassigning the case. When </w:t>
      </w:r>
      <w:r w:rsidR="00430406">
        <w:rPr>
          <w:rFonts w:ascii="Times New Roman" w:hAnsi="Times New Roman" w:cs="Times New Roman"/>
          <w:sz w:val="28"/>
          <w:szCs w:val="28"/>
        </w:rPr>
        <w:t xml:space="preserve">the </w:t>
      </w:r>
      <w:r w:rsidRPr="00EB6BC8">
        <w:rPr>
          <w:rFonts w:ascii="Times New Roman" w:hAnsi="Times New Roman" w:cs="Times New Roman"/>
          <w:sz w:val="28"/>
          <w:szCs w:val="28"/>
        </w:rPr>
        <w:t xml:space="preserve">Presiding Judge </w:t>
      </w:r>
      <w:r w:rsidR="00430406">
        <w:rPr>
          <w:rFonts w:ascii="Times New Roman" w:hAnsi="Times New Roman" w:cs="Times New Roman"/>
          <w:sz w:val="28"/>
          <w:szCs w:val="28"/>
        </w:rPr>
        <w:t xml:space="preserve">recused, </w:t>
      </w:r>
      <w:r w:rsidRPr="00EB6BC8">
        <w:rPr>
          <w:rFonts w:ascii="Times New Roman" w:hAnsi="Times New Roman" w:cs="Times New Roman"/>
          <w:sz w:val="28"/>
          <w:szCs w:val="28"/>
        </w:rPr>
        <w:t>he no longer had au</w:t>
      </w:r>
      <w:r w:rsidRPr="00EB6BC8">
        <w:rPr>
          <w:rFonts w:ascii="Times New Roman" w:hAnsi="Times New Roman" w:cs="Times New Roman"/>
          <w:sz w:val="28"/>
          <w:szCs w:val="28"/>
        </w:rPr>
        <w:softHyphen/>
        <w:t xml:space="preserve">thority to appoint his successor or to enter the order appointing </w:t>
      </w:r>
      <w:r w:rsidR="00746A06">
        <w:rPr>
          <w:rFonts w:ascii="Times New Roman" w:hAnsi="Times New Roman" w:cs="Times New Roman"/>
          <w:sz w:val="28"/>
          <w:szCs w:val="28"/>
        </w:rPr>
        <w:t>the ex officio judge</w:t>
      </w:r>
      <w:r w:rsidRPr="00EB6BC8">
        <w:rPr>
          <w:rFonts w:ascii="Times New Roman" w:hAnsi="Times New Roman" w:cs="Times New Roman"/>
          <w:sz w:val="28"/>
          <w:szCs w:val="28"/>
        </w:rPr>
        <w:t>. The Alabama Supreme Court vacat</w:t>
      </w:r>
      <w:r w:rsidRPr="00EB6BC8">
        <w:rPr>
          <w:rFonts w:ascii="Times New Roman" w:hAnsi="Times New Roman" w:cs="Times New Roman"/>
          <w:sz w:val="28"/>
          <w:szCs w:val="28"/>
        </w:rPr>
        <w:softHyphen/>
        <w:t xml:space="preserve">ed </w:t>
      </w:r>
      <w:r w:rsidR="00430406">
        <w:rPr>
          <w:rFonts w:ascii="Times New Roman" w:hAnsi="Times New Roman" w:cs="Times New Roman"/>
          <w:sz w:val="28"/>
          <w:szCs w:val="28"/>
        </w:rPr>
        <w:t>the Presiding Judge's</w:t>
      </w:r>
      <w:r w:rsidRPr="00EB6BC8">
        <w:rPr>
          <w:rFonts w:ascii="Times New Roman" w:hAnsi="Times New Roman" w:cs="Times New Roman"/>
          <w:sz w:val="28"/>
          <w:szCs w:val="28"/>
        </w:rPr>
        <w:t xml:space="preserve"> order appointing </w:t>
      </w:r>
      <w:r w:rsidR="00430406">
        <w:rPr>
          <w:rFonts w:ascii="Times New Roman" w:hAnsi="Times New Roman" w:cs="Times New Roman"/>
          <w:sz w:val="28"/>
          <w:szCs w:val="28"/>
        </w:rPr>
        <w:t>the ex officio judge</w:t>
      </w:r>
      <w:r w:rsidRPr="00EB6BC8">
        <w:rPr>
          <w:rFonts w:ascii="Times New Roman" w:hAnsi="Times New Roman" w:cs="Times New Roman"/>
          <w:sz w:val="28"/>
          <w:szCs w:val="28"/>
        </w:rPr>
        <w:t xml:space="preserve">. The Court then explained that because </w:t>
      </w:r>
      <w:r w:rsidR="00746A06">
        <w:rPr>
          <w:rFonts w:ascii="Times New Roman" w:hAnsi="Times New Roman" w:cs="Times New Roman"/>
          <w:sz w:val="28"/>
          <w:szCs w:val="28"/>
        </w:rPr>
        <w:t>the ex officio judge</w:t>
      </w:r>
      <w:r w:rsidRPr="00EB6BC8">
        <w:rPr>
          <w:rFonts w:ascii="Times New Roman" w:hAnsi="Times New Roman" w:cs="Times New Roman"/>
          <w:sz w:val="28"/>
          <w:szCs w:val="28"/>
        </w:rPr>
        <w:t xml:space="preserve"> never had jurisdiction over the case, his orders were void. Because a void judgment will not support an appeal, the appeal was dismissed.</w:t>
      </w:r>
    </w:p>
    <w:p w14:paraId="1857A668" w14:textId="77777777" w:rsidR="00DC2187" w:rsidRPr="00EB6BC8" w:rsidRDefault="00DC2187" w:rsidP="00DC2187">
      <w:pPr>
        <w:spacing w:after="0"/>
        <w:jc w:val="both"/>
        <w:rPr>
          <w:rFonts w:ascii="Times New Roman" w:hAnsi="Times New Roman" w:cs="Times New Roman"/>
          <w:sz w:val="28"/>
          <w:szCs w:val="28"/>
        </w:rPr>
      </w:pPr>
    </w:p>
    <w:p w14:paraId="7597B23A" w14:textId="77777777" w:rsidR="00DC2187" w:rsidRPr="00EB6BC8" w:rsidRDefault="00DC2187" w:rsidP="00DC2187">
      <w:pPr>
        <w:spacing w:after="0"/>
        <w:rPr>
          <w:rFonts w:ascii="Times New Roman" w:hAnsi="Times New Roman" w:cs="Times New Roman"/>
          <w:b/>
          <w:bCs/>
          <w:i/>
          <w:iCs/>
          <w:sz w:val="28"/>
          <w:szCs w:val="28"/>
        </w:rPr>
      </w:pPr>
      <w:r w:rsidRPr="00EB6BC8">
        <w:rPr>
          <w:rFonts w:ascii="Times New Roman" w:hAnsi="Times New Roman" w:cs="Times New Roman"/>
          <w:b/>
          <w:bCs/>
          <w:iCs/>
          <w:sz w:val="28"/>
          <w:szCs w:val="28"/>
        </w:rPr>
        <w:t>Scope of arbitration—</w:t>
      </w:r>
      <w:r w:rsidRPr="00EB6BC8">
        <w:rPr>
          <w:rFonts w:ascii="Times New Roman" w:hAnsi="Times New Roman" w:cs="Times New Roman"/>
          <w:b/>
          <w:bCs/>
          <w:i/>
          <w:iCs/>
          <w:sz w:val="28"/>
          <w:szCs w:val="28"/>
        </w:rPr>
        <w:t>Carroll v. Castellanos</w:t>
      </w:r>
      <w:r w:rsidRPr="00EB6BC8">
        <w:rPr>
          <w:rFonts w:ascii="Times New Roman" w:hAnsi="Times New Roman" w:cs="Times New Roman"/>
          <w:b/>
          <w:bCs/>
          <w:sz w:val="28"/>
          <w:szCs w:val="28"/>
        </w:rPr>
        <w:t xml:space="preserve">, 281 So. 3d 365 (Ala. 2019) </w:t>
      </w:r>
    </w:p>
    <w:p w14:paraId="579D6217" w14:textId="77777777" w:rsidR="00DC2187" w:rsidRPr="00EB6BC8" w:rsidRDefault="00DC2187" w:rsidP="00DC2187">
      <w:pPr>
        <w:spacing w:after="0"/>
        <w:jc w:val="both"/>
        <w:rPr>
          <w:rFonts w:ascii="Times New Roman" w:hAnsi="Times New Roman" w:cs="Times New Roman"/>
          <w:sz w:val="28"/>
          <w:szCs w:val="28"/>
        </w:rPr>
      </w:pPr>
    </w:p>
    <w:p w14:paraId="4BC8F27B"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Dr. Castellanos filed suit against The University of Ala</w:t>
      </w:r>
      <w:r w:rsidRPr="00EB6BC8">
        <w:rPr>
          <w:rFonts w:ascii="Times New Roman" w:hAnsi="Times New Roman" w:cs="Times New Roman"/>
          <w:sz w:val="28"/>
          <w:szCs w:val="28"/>
        </w:rPr>
        <w:softHyphen/>
        <w:t>bama Health Services Foundation and others alleging the de</w:t>
      </w:r>
      <w:r w:rsidRPr="00EB6BC8">
        <w:rPr>
          <w:rFonts w:ascii="Times New Roman" w:hAnsi="Times New Roman" w:cs="Times New Roman"/>
          <w:sz w:val="28"/>
          <w:szCs w:val="28"/>
        </w:rPr>
        <w:softHyphen/>
        <w:t>fendants engaged in a series of actions designed to make his life at UAB so misera</w:t>
      </w:r>
      <w:r w:rsidRPr="00EB6BC8">
        <w:rPr>
          <w:rFonts w:ascii="Times New Roman" w:hAnsi="Times New Roman" w:cs="Times New Roman"/>
          <w:sz w:val="28"/>
          <w:szCs w:val="28"/>
        </w:rPr>
        <w:softHyphen/>
        <w:t>ble that had to leave his employment.  The Defendants filed a motion to compel arbitration based on a provision in Dr. Castellanos’ employment contract, which he exe</w:t>
      </w:r>
      <w:r w:rsidRPr="00EB6BC8">
        <w:rPr>
          <w:rFonts w:ascii="Times New Roman" w:hAnsi="Times New Roman" w:cs="Times New Roman"/>
          <w:sz w:val="28"/>
          <w:szCs w:val="28"/>
        </w:rPr>
        <w:softHyphen/>
        <w:t xml:space="preserve">cuted with UAHSF. The circuit court entered an order compelling arbitration of Dr. Castellanos’ claims against UAHSF and the Board, but denying arbitration of his claims against the individual defendants. The individual defendants appealed. </w:t>
      </w:r>
    </w:p>
    <w:p w14:paraId="770B48A0" w14:textId="77777777" w:rsidR="00DC2187" w:rsidRPr="00EB6BC8" w:rsidRDefault="00DC2187" w:rsidP="00DC2187">
      <w:pPr>
        <w:spacing w:after="0"/>
        <w:jc w:val="both"/>
        <w:rPr>
          <w:rFonts w:ascii="Times New Roman" w:hAnsi="Times New Roman" w:cs="Times New Roman"/>
          <w:sz w:val="28"/>
          <w:szCs w:val="28"/>
        </w:rPr>
      </w:pPr>
    </w:p>
    <w:p w14:paraId="06EE0A34"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The Alabama Supreme Court reversed the trial court. The individual defendants were not signatories to the employment contract. However, the employment contract contained an arbitrability clause reserving disputes about arbitra</w:t>
      </w:r>
      <w:r w:rsidRPr="00EB6BC8">
        <w:rPr>
          <w:rFonts w:ascii="Times New Roman" w:hAnsi="Times New Roman" w:cs="Times New Roman"/>
          <w:sz w:val="28"/>
          <w:szCs w:val="28"/>
        </w:rPr>
        <w:softHyphen/>
        <w:t>bility for the arbitrator. “In sum, although questions remain about whether the claims at issue fall within the scope of the arbitration pro</w:t>
      </w:r>
      <w:r w:rsidRPr="00EB6BC8">
        <w:rPr>
          <w:rFonts w:ascii="Times New Roman" w:hAnsi="Times New Roman" w:cs="Times New Roman"/>
          <w:sz w:val="28"/>
          <w:szCs w:val="28"/>
        </w:rPr>
        <w:softHyphen/>
        <w:t>vision and whether the arbitration provision may be used to compel arbitration between a signatory -- Dr. Castel</w:t>
      </w:r>
      <w:r w:rsidRPr="00EB6BC8">
        <w:rPr>
          <w:rFonts w:ascii="Times New Roman" w:hAnsi="Times New Roman" w:cs="Times New Roman"/>
          <w:sz w:val="28"/>
          <w:szCs w:val="28"/>
        </w:rPr>
        <w:softHyphen/>
        <w:t xml:space="preserve">lanos – and the </w:t>
      </w:r>
      <w:proofErr w:type="spellStart"/>
      <w:r w:rsidRPr="00EB6BC8">
        <w:rPr>
          <w:rFonts w:ascii="Times New Roman" w:hAnsi="Times New Roman" w:cs="Times New Roman"/>
          <w:sz w:val="28"/>
          <w:szCs w:val="28"/>
        </w:rPr>
        <w:t>nonsignatory</w:t>
      </w:r>
      <w:proofErr w:type="spellEnd"/>
      <w:r w:rsidRPr="00EB6BC8">
        <w:rPr>
          <w:rFonts w:ascii="Times New Roman" w:hAnsi="Times New Roman" w:cs="Times New Roman"/>
          <w:sz w:val="28"/>
          <w:szCs w:val="28"/>
        </w:rPr>
        <w:t xml:space="preserve"> individual defendants, and although such threshold questions are usually decided by the court, here those questions have been delegated to the arbitrator by virtue of the arbitrability clause.” </w:t>
      </w:r>
    </w:p>
    <w:p w14:paraId="750A2BE7" w14:textId="77777777" w:rsidR="00DC2187" w:rsidRPr="00EB6BC8" w:rsidRDefault="00DC2187" w:rsidP="00DC2187">
      <w:pPr>
        <w:spacing w:after="0"/>
        <w:jc w:val="both"/>
        <w:rPr>
          <w:rFonts w:ascii="Times New Roman" w:hAnsi="Times New Roman" w:cs="Times New Roman"/>
          <w:sz w:val="28"/>
          <w:szCs w:val="28"/>
        </w:rPr>
      </w:pPr>
    </w:p>
    <w:p w14:paraId="224333E8" w14:textId="77777777" w:rsidR="00DC2187" w:rsidRPr="00EB6BC8" w:rsidRDefault="00DC2187" w:rsidP="00DC2187">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Arbitration</w:t>
      </w:r>
      <w:r w:rsidRPr="00EB6BC8">
        <w:rPr>
          <w:rFonts w:ascii="Times New Roman" w:hAnsi="Times New Roman" w:cs="Times New Roman"/>
          <w:b/>
          <w:bCs/>
          <w:i/>
          <w:iCs/>
          <w:sz w:val="28"/>
          <w:szCs w:val="28"/>
        </w:rPr>
        <w:t xml:space="preserve">—Wiggins v. Warren </w:t>
      </w:r>
      <w:proofErr w:type="spellStart"/>
      <w:r w:rsidRPr="00EB6BC8">
        <w:rPr>
          <w:rFonts w:ascii="Times New Roman" w:hAnsi="Times New Roman" w:cs="Times New Roman"/>
          <w:b/>
          <w:bCs/>
          <w:i/>
          <w:iCs/>
          <w:sz w:val="28"/>
          <w:szCs w:val="28"/>
        </w:rPr>
        <w:t>Averett</w:t>
      </w:r>
      <w:proofErr w:type="spellEnd"/>
      <w:r w:rsidRPr="00EB6BC8">
        <w:rPr>
          <w:rFonts w:ascii="Times New Roman" w:hAnsi="Times New Roman" w:cs="Times New Roman"/>
          <w:b/>
          <w:bCs/>
          <w:i/>
          <w:iCs/>
          <w:sz w:val="28"/>
          <w:szCs w:val="28"/>
        </w:rPr>
        <w:t>, LLC</w:t>
      </w:r>
      <w:r w:rsidRPr="00EB6BC8">
        <w:rPr>
          <w:rFonts w:ascii="Times New Roman" w:hAnsi="Times New Roman" w:cs="Times New Roman"/>
          <w:b/>
          <w:bCs/>
          <w:sz w:val="28"/>
          <w:szCs w:val="28"/>
        </w:rPr>
        <w:t>, 2020 WL 597293 (Ala. Feb. 7, 2020).</w:t>
      </w:r>
    </w:p>
    <w:p w14:paraId="072B0FD8" w14:textId="77777777" w:rsidR="00DC2187" w:rsidRPr="00EB6BC8" w:rsidRDefault="00DC2187" w:rsidP="00DC2187">
      <w:pPr>
        <w:spacing w:after="0"/>
        <w:jc w:val="both"/>
        <w:rPr>
          <w:rFonts w:ascii="Times New Roman" w:hAnsi="Times New Roman" w:cs="Times New Roman"/>
          <w:b/>
          <w:bCs/>
          <w:sz w:val="28"/>
          <w:szCs w:val="28"/>
        </w:rPr>
      </w:pPr>
    </w:p>
    <w:p w14:paraId="1A0B8CAA" w14:textId="77777777" w:rsidR="00DC2187"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b/>
          <w:bCs/>
          <w:sz w:val="28"/>
          <w:szCs w:val="28"/>
        </w:rPr>
        <w:tab/>
      </w:r>
      <w:r w:rsidRPr="00EB6BC8">
        <w:rPr>
          <w:rFonts w:ascii="Times New Roman" w:hAnsi="Times New Roman" w:cs="Times New Roman"/>
          <w:sz w:val="28"/>
          <w:szCs w:val="28"/>
        </w:rPr>
        <w:t xml:space="preserve">Warren </w:t>
      </w:r>
      <w:proofErr w:type="spellStart"/>
      <w:r w:rsidRPr="00EB6BC8">
        <w:rPr>
          <w:rFonts w:ascii="Times New Roman" w:hAnsi="Times New Roman" w:cs="Times New Roman"/>
          <w:sz w:val="28"/>
          <w:szCs w:val="28"/>
        </w:rPr>
        <w:t>Averett</w:t>
      </w:r>
      <w:proofErr w:type="spellEnd"/>
      <w:r w:rsidRPr="00EB6BC8">
        <w:rPr>
          <w:rFonts w:ascii="Times New Roman" w:hAnsi="Times New Roman" w:cs="Times New Roman"/>
          <w:sz w:val="28"/>
          <w:szCs w:val="28"/>
        </w:rPr>
        <w:t xml:space="preserve"> and Eastern Shore entered into an agreement pursuant to which Warren </w:t>
      </w:r>
      <w:proofErr w:type="spellStart"/>
      <w:r w:rsidRPr="00EB6BC8">
        <w:rPr>
          <w:rFonts w:ascii="Times New Roman" w:hAnsi="Times New Roman" w:cs="Times New Roman"/>
          <w:sz w:val="28"/>
          <w:szCs w:val="28"/>
        </w:rPr>
        <w:t>Averett</w:t>
      </w:r>
      <w:proofErr w:type="spellEnd"/>
      <w:r w:rsidRPr="00EB6BC8">
        <w:rPr>
          <w:rFonts w:ascii="Times New Roman" w:hAnsi="Times New Roman" w:cs="Times New Roman"/>
          <w:sz w:val="28"/>
          <w:szCs w:val="28"/>
        </w:rPr>
        <w:t xml:space="preserve"> was to provide accounting services to Eastern Shore (“the contract”). The contract included an arbitration clause. In 2017, Wiggins, a physician employed by Eastern Shore, filed a single count complaint alleging “accounting malpractice” against Warren </w:t>
      </w:r>
      <w:proofErr w:type="spellStart"/>
      <w:r w:rsidRPr="00EB6BC8">
        <w:rPr>
          <w:rFonts w:ascii="Times New Roman" w:hAnsi="Times New Roman" w:cs="Times New Roman"/>
          <w:sz w:val="28"/>
          <w:szCs w:val="28"/>
        </w:rPr>
        <w:t>Averett</w:t>
      </w:r>
      <w:proofErr w:type="spellEnd"/>
      <w:r w:rsidRPr="00EB6BC8">
        <w:rPr>
          <w:rFonts w:ascii="Times New Roman" w:hAnsi="Times New Roman" w:cs="Times New Roman"/>
          <w:sz w:val="28"/>
          <w:szCs w:val="28"/>
        </w:rPr>
        <w:t xml:space="preserve">. Warren </w:t>
      </w:r>
      <w:proofErr w:type="spellStart"/>
      <w:r w:rsidRPr="00EB6BC8">
        <w:rPr>
          <w:rFonts w:ascii="Times New Roman" w:hAnsi="Times New Roman" w:cs="Times New Roman"/>
          <w:sz w:val="28"/>
          <w:szCs w:val="28"/>
        </w:rPr>
        <w:t>Averett</w:t>
      </w:r>
      <w:proofErr w:type="spellEnd"/>
      <w:r w:rsidRPr="00EB6BC8">
        <w:rPr>
          <w:rFonts w:ascii="Times New Roman" w:hAnsi="Times New Roman" w:cs="Times New Roman"/>
          <w:sz w:val="28"/>
          <w:szCs w:val="28"/>
        </w:rPr>
        <w:t xml:space="preserve"> sought to compel arbitration pursuant to the contract. Wiggins argued the contract applied only to claims made </w:t>
      </w:r>
      <w:r w:rsidRPr="00EB6BC8">
        <w:rPr>
          <w:rFonts w:ascii="Times New Roman" w:hAnsi="Times New Roman" w:cs="Times New Roman"/>
          <w:sz w:val="28"/>
          <w:szCs w:val="28"/>
        </w:rPr>
        <w:lastRenderedPageBreak/>
        <w:t xml:space="preserve">by or on behalf of Eastern Shore against Warren </w:t>
      </w:r>
      <w:proofErr w:type="spellStart"/>
      <w:r w:rsidRPr="00EB6BC8">
        <w:rPr>
          <w:rFonts w:ascii="Times New Roman" w:hAnsi="Times New Roman" w:cs="Times New Roman"/>
          <w:sz w:val="28"/>
          <w:szCs w:val="28"/>
        </w:rPr>
        <w:t>Averett</w:t>
      </w:r>
      <w:proofErr w:type="spellEnd"/>
      <w:r w:rsidRPr="00EB6BC8">
        <w:rPr>
          <w:rFonts w:ascii="Times New Roman" w:hAnsi="Times New Roman" w:cs="Times New Roman"/>
          <w:sz w:val="28"/>
          <w:szCs w:val="28"/>
        </w:rPr>
        <w:t>, and not to personal claims of Eastern Shore’s shareholders. The trial court granted the motion to arbitrate and compelled the parties to arbitrate. Wiggins appealed.</w:t>
      </w:r>
    </w:p>
    <w:p w14:paraId="48201C44" w14:textId="77777777" w:rsidR="00880D61" w:rsidRPr="00EB6BC8" w:rsidRDefault="00880D61" w:rsidP="00DC2187">
      <w:pPr>
        <w:spacing w:after="0"/>
        <w:jc w:val="both"/>
        <w:rPr>
          <w:rFonts w:ascii="Times New Roman" w:hAnsi="Times New Roman" w:cs="Times New Roman"/>
          <w:sz w:val="28"/>
          <w:szCs w:val="28"/>
        </w:rPr>
      </w:pPr>
    </w:p>
    <w:p w14:paraId="12E9339F" w14:textId="77777777" w:rsidR="00DC2187" w:rsidRPr="00EB6BC8" w:rsidRDefault="00DC2187" w:rsidP="00DC2187">
      <w:pPr>
        <w:spacing w:after="0"/>
        <w:ind w:firstLine="720"/>
        <w:jc w:val="both"/>
        <w:rPr>
          <w:rFonts w:ascii="Times New Roman" w:hAnsi="Times New Roman" w:cs="Times New Roman"/>
          <w:sz w:val="28"/>
          <w:szCs w:val="28"/>
        </w:rPr>
      </w:pPr>
      <w:r w:rsidRPr="00EB6BC8">
        <w:rPr>
          <w:rFonts w:ascii="Times New Roman" w:hAnsi="Times New Roman" w:cs="Times New Roman"/>
          <w:sz w:val="28"/>
          <w:szCs w:val="28"/>
        </w:rPr>
        <w:t xml:space="preserve">The Alabama Supreme Court explained that Wiggins’ argument involved an issue of arbitrability, which includes issues relating to the scope of an arbitration provision. In addition, whether the scope of an arbitration provision applies to nonparties or </w:t>
      </w:r>
      <w:proofErr w:type="spellStart"/>
      <w:r w:rsidRPr="00EB6BC8">
        <w:rPr>
          <w:rFonts w:ascii="Times New Roman" w:hAnsi="Times New Roman" w:cs="Times New Roman"/>
          <w:sz w:val="28"/>
          <w:szCs w:val="28"/>
        </w:rPr>
        <w:t>nonsignatories</w:t>
      </w:r>
      <w:proofErr w:type="spellEnd"/>
      <w:r w:rsidRPr="00EB6BC8">
        <w:rPr>
          <w:rFonts w:ascii="Times New Roman" w:hAnsi="Times New Roman" w:cs="Times New Roman"/>
          <w:sz w:val="28"/>
          <w:szCs w:val="28"/>
        </w:rPr>
        <w:t xml:space="preserve"> is also a question of arbitrability. The Court further noted that while a court generally makes the determination of arbitrability, there is an exception when the arbitration provision itself requires that the arbitrator make the decision. The Court explained that when an arbitration provision indicates that AAA rules will apply, it has held that it is clear and </w:t>
      </w:r>
      <w:proofErr w:type="spellStart"/>
      <w:r w:rsidRPr="00EB6BC8">
        <w:rPr>
          <w:rFonts w:ascii="Times New Roman" w:hAnsi="Times New Roman" w:cs="Times New Roman"/>
          <w:sz w:val="28"/>
          <w:szCs w:val="28"/>
        </w:rPr>
        <w:t>unmistakeable</w:t>
      </w:r>
      <w:proofErr w:type="spellEnd"/>
      <w:r w:rsidRPr="00EB6BC8">
        <w:rPr>
          <w:rFonts w:ascii="Times New Roman" w:hAnsi="Times New Roman" w:cs="Times New Roman"/>
          <w:sz w:val="28"/>
          <w:szCs w:val="28"/>
        </w:rPr>
        <w:t xml:space="preserve"> that arbitrability decisions are to be made by the arbitrator; this includes the decision whether the arbitration provision may be enforced against a </w:t>
      </w:r>
      <w:proofErr w:type="spellStart"/>
      <w:r w:rsidRPr="00EB6BC8">
        <w:rPr>
          <w:rFonts w:ascii="Times New Roman" w:hAnsi="Times New Roman" w:cs="Times New Roman"/>
          <w:sz w:val="28"/>
          <w:szCs w:val="28"/>
        </w:rPr>
        <w:t>nonsignatory</w:t>
      </w:r>
      <w:proofErr w:type="spellEnd"/>
      <w:r w:rsidRPr="00EB6BC8">
        <w:rPr>
          <w:rFonts w:ascii="Times New Roman" w:hAnsi="Times New Roman" w:cs="Times New Roman"/>
          <w:sz w:val="28"/>
          <w:szCs w:val="28"/>
        </w:rPr>
        <w:t xml:space="preserve"> to the contract.</w:t>
      </w:r>
    </w:p>
    <w:p w14:paraId="176E2937" w14:textId="77777777" w:rsidR="00DC2187" w:rsidRPr="00EB6BC8" w:rsidRDefault="00DC2187" w:rsidP="00DC2187">
      <w:pPr>
        <w:spacing w:after="0"/>
        <w:jc w:val="both"/>
        <w:rPr>
          <w:rFonts w:ascii="Times New Roman" w:hAnsi="Times New Roman" w:cs="Times New Roman"/>
          <w:sz w:val="28"/>
          <w:szCs w:val="28"/>
        </w:rPr>
      </w:pPr>
    </w:p>
    <w:p w14:paraId="782FDD46"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b/>
          <w:bCs/>
          <w:iCs/>
          <w:sz w:val="28"/>
          <w:szCs w:val="28"/>
        </w:rPr>
        <w:t>Arbitrability—</w:t>
      </w:r>
      <w:r w:rsidRPr="00EB6BC8">
        <w:rPr>
          <w:rFonts w:ascii="Times New Roman" w:hAnsi="Times New Roman" w:cs="Times New Roman"/>
          <w:b/>
          <w:bCs/>
          <w:i/>
          <w:iCs/>
          <w:sz w:val="28"/>
          <w:szCs w:val="28"/>
        </w:rPr>
        <w:t xml:space="preserve">Blanks v. TDS </w:t>
      </w:r>
      <w:proofErr w:type="spellStart"/>
      <w:r w:rsidRPr="00EB6BC8">
        <w:rPr>
          <w:rFonts w:ascii="Times New Roman" w:hAnsi="Times New Roman" w:cs="Times New Roman"/>
          <w:b/>
          <w:bCs/>
          <w:i/>
          <w:iCs/>
          <w:sz w:val="28"/>
          <w:szCs w:val="28"/>
        </w:rPr>
        <w:t>Telecomms</w:t>
      </w:r>
      <w:proofErr w:type="spellEnd"/>
      <w:r w:rsidRPr="00EB6BC8">
        <w:rPr>
          <w:rFonts w:ascii="Times New Roman" w:hAnsi="Times New Roman" w:cs="Times New Roman"/>
          <w:b/>
          <w:bCs/>
          <w:i/>
          <w:iCs/>
          <w:sz w:val="28"/>
          <w:szCs w:val="28"/>
        </w:rPr>
        <w:t>., LLC</w:t>
      </w:r>
      <w:r w:rsidRPr="00EB6BC8">
        <w:rPr>
          <w:rFonts w:ascii="Times New Roman" w:hAnsi="Times New Roman" w:cs="Times New Roman"/>
          <w:b/>
          <w:bCs/>
          <w:sz w:val="28"/>
          <w:szCs w:val="28"/>
        </w:rPr>
        <w:t xml:space="preserve">, 294 So. 3d 761 (Ala. 2019) </w:t>
      </w:r>
    </w:p>
    <w:p w14:paraId="5F48AC68" w14:textId="77777777" w:rsidR="00DC2187" w:rsidRPr="00EB6BC8" w:rsidRDefault="00DC2187" w:rsidP="00DC2187">
      <w:pPr>
        <w:spacing w:after="0"/>
        <w:jc w:val="both"/>
        <w:rPr>
          <w:rFonts w:ascii="Times New Roman" w:hAnsi="Times New Roman" w:cs="Times New Roman"/>
          <w:sz w:val="28"/>
          <w:szCs w:val="28"/>
        </w:rPr>
      </w:pPr>
    </w:p>
    <w:p w14:paraId="020AF3DE"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880D61">
        <w:rPr>
          <w:rFonts w:ascii="Times New Roman" w:hAnsi="Times New Roman" w:cs="Times New Roman"/>
          <w:sz w:val="28"/>
          <w:szCs w:val="28"/>
        </w:rPr>
        <w:t>In the Terms of Service,</w:t>
      </w:r>
      <w:r w:rsidRPr="00EB6BC8">
        <w:rPr>
          <w:rFonts w:ascii="Times New Roman" w:hAnsi="Times New Roman" w:cs="Times New Roman"/>
          <w:sz w:val="28"/>
          <w:szCs w:val="28"/>
        </w:rPr>
        <w:t xml:space="preserve"> Plaintiffs internet service agreement with TDS contained an arbitration clause</w:t>
      </w:r>
      <w:r w:rsidRPr="00EB6BC8">
        <w:rPr>
          <w:rFonts w:ascii="Times New Roman" w:hAnsi="Times New Roman" w:cs="Times New Roman"/>
          <w:b/>
          <w:bCs/>
          <w:sz w:val="28"/>
          <w:szCs w:val="28"/>
        </w:rPr>
        <w:t xml:space="preserve">. </w:t>
      </w:r>
      <w:r w:rsidRPr="00EB6BC8">
        <w:rPr>
          <w:rFonts w:ascii="Times New Roman" w:hAnsi="Times New Roman" w:cs="Times New Roman"/>
          <w:bCs/>
          <w:sz w:val="28"/>
          <w:szCs w:val="28"/>
        </w:rPr>
        <w:t>After TDS</w:t>
      </w:r>
      <w:r w:rsidRPr="00EB6BC8">
        <w:rPr>
          <w:rFonts w:ascii="Times New Roman" w:hAnsi="Times New Roman" w:cs="Times New Roman"/>
          <w:sz w:val="28"/>
          <w:szCs w:val="28"/>
        </w:rPr>
        <w:t xml:space="preserve"> learned the Plaintiffs intend</w:t>
      </w:r>
      <w:r w:rsidRPr="00EB6BC8">
        <w:rPr>
          <w:rFonts w:ascii="Times New Roman" w:hAnsi="Times New Roman" w:cs="Times New Roman"/>
          <w:sz w:val="28"/>
          <w:szCs w:val="28"/>
        </w:rPr>
        <w:softHyphen/>
        <w:t>ed to initiate arbitration, they updated the Terms of Service, providing that the arbi</w:t>
      </w:r>
      <w:r w:rsidRPr="00EB6BC8">
        <w:rPr>
          <w:rFonts w:ascii="Times New Roman" w:hAnsi="Times New Roman" w:cs="Times New Roman"/>
          <w:sz w:val="28"/>
          <w:szCs w:val="28"/>
        </w:rPr>
        <w:softHyphen/>
        <w:t xml:space="preserve">tration clause did not apply to customers who received service in Alabama. The prior Terms of Service stated that TDS could modify the terms at any time and in any manner. </w:t>
      </w:r>
    </w:p>
    <w:p w14:paraId="793A3634" w14:textId="77777777" w:rsidR="00DC2187" w:rsidRPr="00EB6BC8" w:rsidRDefault="00DC2187" w:rsidP="00DC2187">
      <w:pPr>
        <w:spacing w:after="0"/>
        <w:jc w:val="both"/>
        <w:rPr>
          <w:rFonts w:ascii="Times New Roman" w:hAnsi="Times New Roman" w:cs="Times New Roman"/>
          <w:sz w:val="28"/>
          <w:szCs w:val="28"/>
        </w:rPr>
      </w:pPr>
    </w:p>
    <w:p w14:paraId="493E6FB0"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After the Terms of Ser</w:t>
      </w:r>
      <w:r w:rsidRPr="00EB6BC8">
        <w:rPr>
          <w:rFonts w:ascii="Times New Roman" w:hAnsi="Times New Roman" w:cs="Times New Roman"/>
          <w:sz w:val="28"/>
          <w:szCs w:val="28"/>
        </w:rPr>
        <w:softHyphen/>
        <w:t xml:space="preserve">vice were updated, the </w:t>
      </w:r>
      <w:proofErr w:type="gramStart"/>
      <w:r w:rsidRPr="00EB6BC8">
        <w:rPr>
          <w:rFonts w:ascii="Times New Roman" w:hAnsi="Times New Roman" w:cs="Times New Roman"/>
          <w:sz w:val="28"/>
          <w:szCs w:val="28"/>
        </w:rPr>
        <w:t>customers initiated</w:t>
      </w:r>
      <w:proofErr w:type="gramEnd"/>
      <w:r w:rsidRPr="00EB6BC8">
        <w:rPr>
          <w:rFonts w:ascii="Times New Roman" w:hAnsi="Times New Roman" w:cs="Times New Roman"/>
          <w:sz w:val="28"/>
          <w:szCs w:val="28"/>
        </w:rPr>
        <w:t xml:space="preserve"> arbitration with the AAA. They took the position that the Terms of Service should be read as allowing modification of the arbitration clause only as to disputes that arose af</w:t>
      </w:r>
      <w:r w:rsidRPr="00EB6BC8">
        <w:rPr>
          <w:rFonts w:ascii="Times New Roman" w:hAnsi="Times New Roman" w:cs="Times New Roman"/>
          <w:sz w:val="28"/>
          <w:szCs w:val="28"/>
        </w:rPr>
        <w:softHyphen/>
        <w:t>ter the modification. TDS refused to participate in the arbitration proceedings, and filed an action requesting the trial court to enter a judgment declaring the updated Terms of Service was valid and applicable to the customers’ claims. The customers filed a motion to compel arbitration. The trial court en</w:t>
      </w:r>
      <w:r w:rsidRPr="00EB6BC8">
        <w:rPr>
          <w:rFonts w:ascii="Times New Roman" w:hAnsi="Times New Roman" w:cs="Times New Roman"/>
          <w:sz w:val="28"/>
          <w:szCs w:val="28"/>
        </w:rPr>
        <w:softHyphen/>
        <w:t>tered a judgment denying the motion to compel arbi</w:t>
      </w:r>
      <w:r w:rsidRPr="00EB6BC8">
        <w:rPr>
          <w:rFonts w:ascii="Times New Roman" w:hAnsi="Times New Roman" w:cs="Times New Roman"/>
          <w:sz w:val="28"/>
          <w:szCs w:val="28"/>
        </w:rPr>
        <w:softHyphen/>
        <w:t xml:space="preserve">tration, and further adjudged the modified Terms of Service was valid and enforceable. The customers appealed. </w:t>
      </w:r>
    </w:p>
    <w:p w14:paraId="7B4F9B02" w14:textId="77777777" w:rsidR="00DC2187" w:rsidRPr="00EB6BC8" w:rsidRDefault="00DC2187" w:rsidP="00DC2187">
      <w:pPr>
        <w:spacing w:after="0"/>
        <w:jc w:val="both"/>
        <w:rPr>
          <w:rFonts w:ascii="Times New Roman" w:hAnsi="Times New Roman" w:cs="Times New Roman"/>
          <w:sz w:val="28"/>
          <w:szCs w:val="28"/>
        </w:rPr>
      </w:pPr>
    </w:p>
    <w:p w14:paraId="37FAA765"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Alabama Supreme Court reversed the trial court's order. The Court stated the ques</w:t>
      </w:r>
      <w:r w:rsidRPr="00EB6BC8">
        <w:rPr>
          <w:rFonts w:ascii="Times New Roman" w:hAnsi="Times New Roman" w:cs="Times New Roman"/>
          <w:sz w:val="28"/>
          <w:szCs w:val="28"/>
        </w:rPr>
        <w:softHyphen/>
        <w:t>tion of who is to decide whether a dispute is arbitrable must precede the question of whether a dispute is ar</w:t>
      </w:r>
      <w:r w:rsidRPr="00EB6BC8">
        <w:rPr>
          <w:rFonts w:ascii="Times New Roman" w:hAnsi="Times New Roman" w:cs="Times New Roman"/>
          <w:sz w:val="28"/>
          <w:szCs w:val="28"/>
        </w:rPr>
        <w:softHyphen/>
        <w:t xml:space="preserve">bitrable. While those questions are typically answered by the courts, they should be sent to an arbitrator if the parties clearly </w:t>
      </w:r>
      <w:r w:rsidRPr="00EB6BC8">
        <w:rPr>
          <w:rFonts w:ascii="Times New Roman" w:hAnsi="Times New Roman" w:cs="Times New Roman"/>
          <w:sz w:val="28"/>
          <w:szCs w:val="28"/>
        </w:rPr>
        <w:lastRenderedPageBreak/>
        <w:t>intended an arbitrator to decide the issue of arbitrability. The customers argued that when the arbitration agreement incorporates the AAA rules, as the one here did, the issue of arbitrability should be decided by the arbitrator. The Court agreed. The Court further pointed out that after the trial court entered its judgment in this case, the Unit</w:t>
      </w:r>
      <w:r w:rsidRPr="00EB6BC8">
        <w:rPr>
          <w:rFonts w:ascii="Times New Roman" w:hAnsi="Times New Roman" w:cs="Times New Roman"/>
          <w:sz w:val="28"/>
          <w:szCs w:val="28"/>
        </w:rPr>
        <w:softHyphen/>
        <w:t xml:space="preserve">ed States Supreme Court decided </w:t>
      </w:r>
      <w:r w:rsidRPr="00EB6BC8">
        <w:rPr>
          <w:rFonts w:ascii="Times New Roman" w:hAnsi="Times New Roman" w:cs="Times New Roman"/>
          <w:i/>
          <w:iCs/>
          <w:sz w:val="28"/>
          <w:szCs w:val="28"/>
        </w:rPr>
        <w:t>Henry Schein, Inc. v. Archer &amp; White Sales, Inc.</w:t>
      </w:r>
      <w:r w:rsidRPr="00EB6BC8">
        <w:rPr>
          <w:rFonts w:ascii="Times New Roman" w:hAnsi="Times New Roman" w:cs="Times New Roman"/>
          <w:sz w:val="28"/>
          <w:szCs w:val="28"/>
        </w:rPr>
        <w:t xml:space="preserve">, ___ U.S. ___, 139 S. Ct. 524 (2019). In </w:t>
      </w:r>
      <w:r w:rsidRPr="00EB6BC8">
        <w:rPr>
          <w:rFonts w:ascii="Times New Roman" w:hAnsi="Times New Roman" w:cs="Times New Roman"/>
          <w:i/>
          <w:iCs/>
          <w:sz w:val="28"/>
          <w:szCs w:val="28"/>
        </w:rPr>
        <w:t>Schein</w:t>
      </w:r>
      <w:r w:rsidRPr="00EB6BC8">
        <w:rPr>
          <w:rFonts w:ascii="Times New Roman" w:hAnsi="Times New Roman" w:cs="Times New Roman"/>
          <w:sz w:val="28"/>
          <w:szCs w:val="28"/>
        </w:rPr>
        <w:t>, the Supreme Court held that, when parties delegate to an arbitrator issues of arbi</w:t>
      </w:r>
      <w:r w:rsidRPr="00EB6BC8">
        <w:rPr>
          <w:rFonts w:ascii="Times New Roman" w:hAnsi="Times New Roman" w:cs="Times New Roman"/>
          <w:sz w:val="28"/>
          <w:szCs w:val="28"/>
        </w:rPr>
        <w:softHyphen/>
        <w:t xml:space="preserve">trability, courts have no role in determining whether the scope of an arbitration clause is broad enough to cover a particular dispute. </w:t>
      </w:r>
    </w:p>
    <w:p w14:paraId="25F49759" w14:textId="77777777" w:rsidR="006F6EFE" w:rsidRPr="00EB6BC8" w:rsidRDefault="006F6EFE" w:rsidP="00DC2187">
      <w:pPr>
        <w:spacing w:after="0"/>
        <w:jc w:val="both"/>
        <w:rPr>
          <w:rFonts w:ascii="Times New Roman" w:hAnsi="Times New Roman" w:cs="Times New Roman"/>
          <w:sz w:val="28"/>
          <w:szCs w:val="28"/>
        </w:rPr>
      </w:pPr>
    </w:p>
    <w:p w14:paraId="335EFA03" w14:textId="77777777" w:rsidR="006F6EFE" w:rsidRPr="00EB6BC8" w:rsidRDefault="006F6EFE" w:rsidP="006F6EFE">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Parental Immunity—</w:t>
      </w:r>
      <w:r w:rsidRPr="00EB6BC8">
        <w:rPr>
          <w:rFonts w:ascii="Times New Roman" w:hAnsi="Times New Roman" w:cs="Times New Roman"/>
          <w:b/>
          <w:bCs/>
          <w:i/>
          <w:iCs/>
          <w:sz w:val="28"/>
          <w:szCs w:val="28"/>
        </w:rPr>
        <w:t>Curry v. Kelley</w:t>
      </w:r>
      <w:r w:rsidRPr="00EB6BC8">
        <w:rPr>
          <w:rFonts w:ascii="Times New Roman" w:hAnsi="Times New Roman" w:cs="Times New Roman"/>
          <w:b/>
          <w:bCs/>
          <w:sz w:val="28"/>
          <w:szCs w:val="28"/>
        </w:rPr>
        <w:t xml:space="preserve">, 296 So. 3d 822 (Ala. 2019) </w:t>
      </w:r>
    </w:p>
    <w:p w14:paraId="5DAA2645" w14:textId="77777777" w:rsidR="006F6EFE" w:rsidRPr="00EB6BC8" w:rsidRDefault="006F6EFE" w:rsidP="006F6EFE">
      <w:pPr>
        <w:spacing w:after="0"/>
        <w:jc w:val="both"/>
        <w:rPr>
          <w:rFonts w:ascii="Times New Roman" w:hAnsi="Times New Roman" w:cs="Times New Roman"/>
          <w:bCs/>
          <w:sz w:val="28"/>
          <w:szCs w:val="28"/>
        </w:rPr>
      </w:pPr>
    </w:p>
    <w:p w14:paraId="638B1575"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bCs/>
          <w:sz w:val="28"/>
          <w:szCs w:val="28"/>
        </w:rPr>
        <w:tab/>
        <w:t xml:space="preserve">AC died in foster care. The </w:t>
      </w:r>
      <w:r w:rsidR="00880D61">
        <w:rPr>
          <w:rFonts w:ascii="Times New Roman" w:hAnsi="Times New Roman" w:cs="Times New Roman"/>
          <w:bCs/>
          <w:sz w:val="28"/>
          <w:szCs w:val="28"/>
        </w:rPr>
        <w:t>p</w:t>
      </w:r>
      <w:r w:rsidRPr="00EB6BC8">
        <w:rPr>
          <w:rFonts w:ascii="Times New Roman" w:hAnsi="Times New Roman" w:cs="Times New Roman"/>
          <w:bCs/>
          <w:sz w:val="28"/>
          <w:szCs w:val="28"/>
        </w:rPr>
        <w:t xml:space="preserve">laintiff filed suit against </w:t>
      </w:r>
      <w:r w:rsidRPr="00EB6BC8">
        <w:rPr>
          <w:rFonts w:ascii="Times New Roman" w:hAnsi="Times New Roman" w:cs="Times New Roman"/>
          <w:sz w:val="28"/>
          <w:szCs w:val="28"/>
        </w:rPr>
        <w:t xml:space="preserve">Van Gilder and Kelley (foster parents), alleging their negligence and wantonness led to AC’s death. The </w:t>
      </w:r>
      <w:r w:rsidR="00880D61">
        <w:rPr>
          <w:rFonts w:ascii="Times New Roman" w:hAnsi="Times New Roman" w:cs="Times New Roman"/>
          <w:sz w:val="28"/>
          <w:szCs w:val="28"/>
        </w:rPr>
        <w:t>d</w:t>
      </w:r>
      <w:r w:rsidRPr="00EB6BC8">
        <w:rPr>
          <w:rFonts w:ascii="Times New Roman" w:hAnsi="Times New Roman" w:cs="Times New Roman"/>
          <w:sz w:val="28"/>
          <w:szCs w:val="28"/>
        </w:rPr>
        <w:t xml:space="preserve">efendants filed </w:t>
      </w:r>
      <w:r w:rsidR="00880D61">
        <w:rPr>
          <w:rFonts w:ascii="Times New Roman" w:hAnsi="Times New Roman" w:cs="Times New Roman"/>
          <w:sz w:val="28"/>
          <w:szCs w:val="28"/>
        </w:rPr>
        <w:t>m</w:t>
      </w:r>
      <w:r w:rsidRPr="00EB6BC8">
        <w:rPr>
          <w:rFonts w:ascii="Times New Roman" w:hAnsi="Times New Roman" w:cs="Times New Roman"/>
          <w:sz w:val="28"/>
          <w:szCs w:val="28"/>
        </w:rPr>
        <w:t xml:space="preserve">otions for </w:t>
      </w:r>
      <w:r w:rsidR="00880D61">
        <w:rPr>
          <w:rFonts w:ascii="Times New Roman" w:hAnsi="Times New Roman" w:cs="Times New Roman"/>
          <w:sz w:val="28"/>
          <w:szCs w:val="28"/>
        </w:rPr>
        <w:t>s</w:t>
      </w:r>
      <w:r w:rsidRPr="00EB6BC8">
        <w:rPr>
          <w:rFonts w:ascii="Times New Roman" w:hAnsi="Times New Roman" w:cs="Times New Roman"/>
          <w:sz w:val="28"/>
          <w:szCs w:val="28"/>
        </w:rPr>
        <w:t xml:space="preserve">ummary </w:t>
      </w:r>
      <w:r w:rsidR="00880D61">
        <w:rPr>
          <w:rFonts w:ascii="Times New Roman" w:hAnsi="Times New Roman" w:cs="Times New Roman"/>
          <w:sz w:val="28"/>
          <w:szCs w:val="28"/>
        </w:rPr>
        <w:t>j</w:t>
      </w:r>
      <w:r w:rsidRPr="00EB6BC8">
        <w:rPr>
          <w:rFonts w:ascii="Times New Roman" w:hAnsi="Times New Roman" w:cs="Times New Roman"/>
          <w:sz w:val="28"/>
          <w:szCs w:val="28"/>
        </w:rPr>
        <w:t>udgment arguing that any claim for negligence was barred by the doc</w:t>
      </w:r>
      <w:r w:rsidRPr="00EB6BC8">
        <w:rPr>
          <w:rFonts w:ascii="Times New Roman" w:hAnsi="Times New Roman" w:cs="Times New Roman"/>
          <w:sz w:val="28"/>
          <w:szCs w:val="28"/>
        </w:rPr>
        <w:softHyphen/>
        <w:t xml:space="preserve">trine of parental immunity and the </w:t>
      </w:r>
      <w:r w:rsidR="00880D61">
        <w:rPr>
          <w:rFonts w:ascii="Times New Roman" w:hAnsi="Times New Roman" w:cs="Times New Roman"/>
          <w:sz w:val="28"/>
          <w:szCs w:val="28"/>
        </w:rPr>
        <w:t>p</w:t>
      </w:r>
      <w:r w:rsidRPr="00EB6BC8">
        <w:rPr>
          <w:rFonts w:ascii="Times New Roman" w:hAnsi="Times New Roman" w:cs="Times New Roman"/>
          <w:sz w:val="28"/>
          <w:szCs w:val="28"/>
        </w:rPr>
        <w:t>laintiff had pre</w:t>
      </w:r>
      <w:r w:rsidRPr="00EB6BC8">
        <w:rPr>
          <w:rFonts w:ascii="Times New Roman" w:hAnsi="Times New Roman" w:cs="Times New Roman"/>
          <w:sz w:val="28"/>
          <w:szCs w:val="28"/>
        </w:rPr>
        <w:softHyphen/>
        <w:t xml:space="preserve">sented no evidence the </w:t>
      </w:r>
      <w:r w:rsidR="00395966">
        <w:rPr>
          <w:rFonts w:ascii="Times New Roman" w:hAnsi="Times New Roman" w:cs="Times New Roman"/>
          <w:sz w:val="28"/>
          <w:szCs w:val="28"/>
        </w:rPr>
        <w:t>d</w:t>
      </w:r>
      <w:r w:rsidRPr="00EB6BC8">
        <w:rPr>
          <w:rFonts w:ascii="Times New Roman" w:hAnsi="Times New Roman" w:cs="Times New Roman"/>
          <w:sz w:val="28"/>
          <w:szCs w:val="28"/>
        </w:rPr>
        <w:t xml:space="preserve">efendants acted wantonly. The trial court denied both motions. The </w:t>
      </w:r>
      <w:r w:rsidR="00395966">
        <w:rPr>
          <w:rFonts w:ascii="Times New Roman" w:hAnsi="Times New Roman" w:cs="Times New Roman"/>
          <w:sz w:val="28"/>
          <w:szCs w:val="28"/>
        </w:rPr>
        <w:t>d</w:t>
      </w:r>
      <w:r w:rsidRPr="00EB6BC8">
        <w:rPr>
          <w:rFonts w:ascii="Times New Roman" w:hAnsi="Times New Roman" w:cs="Times New Roman"/>
          <w:sz w:val="28"/>
          <w:szCs w:val="28"/>
        </w:rPr>
        <w:t xml:space="preserve">efendants filed </w:t>
      </w:r>
      <w:r w:rsidR="00395966">
        <w:rPr>
          <w:rFonts w:ascii="Times New Roman" w:hAnsi="Times New Roman" w:cs="Times New Roman"/>
          <w:sz w:val="28"/>
          <w:szCs w:val="28"/>
        </w:rPr>
        <w:t>p</w:t>
      </w:r>
      <w:r w:rsidRPr="00EB6BC8">
        <w:rPr>
          <w:rFonts w:ascii="Times New Roman" w:hAnsi="Times New Roman" w:cs="Times New Roman"/>
          <w:sz w:val="28"/>
          <w:szCs w:val="28"/>
        </w:rPr>
        <w:t xml:space="preserve">etitions for </w:t>
      </w:r>
      <w:r w:rsidR="00395966">
        <w:rPr>
          <w:rFonts w:ascii="Times New Roman" w:hAnsi="Times New Roman" w:cs="Times New Roman"/>
          <w:sz w:val="28"/>
          <w:szCs w:val="28"/>
        </w:rPr>
        <w:t>w</w:t>
      </w:r>
      <w:r w:rsidRPr="00EB6BC8">
        <w:rPr>
          <w:rFonts w:ascii="Times New Roman" w:hAnsi="Times New Roman" w:cs="Times New Roman"/>
          <w:sz w:val="28"/>
          <w:szCs w:val="28"/>
        </w:rPr>
        <w:t xml:space="preserve">rits of </w:t>
      </w:r>
      <w:r w:rsidR="00395966">
        <w:rPr>
          <w:rFonts w:ascii="Times New Roman" w:hAnsi="Times New Roman" w:cs="Times New Roman"/>
          <w:sz w:val="28"/>
          <w:szCs w:val="28"/>
        </w:rPr>
        <w:t>m</w:t>
      </w:r>
      <w:r w:rsidRPr="00EB6BC8">
        <w:rPr>
          <w:rFonts w:ascii="Times New Roman" w:hAnsi="Times New Roman" w:cs="Times New Roman"/>
          <w:sz w:val="28"/>
          <w:szCs w:val="28"/>
        </w:rPr>
        <w:t>andamus. The Alabama Supreme Court held there was no question the doctrine of parental immunity barred the wrongful death claim to the extent the claim was based on negligence, but not to the extent it was based on wantonness.</w:t>
      </w:r>
    </w:p>
    <w:p w14:paraId="69C31506" w14:textId="77777777" w:rsidR="006F6EFE" w:rsidRPr="00EB6BC8" w:rsidRDefault="006F6EFE" w:rsidP="006F6EFE">
      <w:pPr>
        <w:spacing w:after="0"/>
        <w:jc w:val="both"/>
        <w:rPr>
          <w:rFonts w:ascii="Times New Roman" w:hAnsi="Times New Roman" w:cs="Times New Roman"/>
          <w:sz w:val="28"/>
          <w:szCs w:val="28"/>
        </w:rPr>
      </w:pPr>
    </w:p>
    <w:p w14:paraId="7C0A7A1E"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b/>
          <w:bCs/>
          <w:iCs/>
          <w:sz w:val="28"/>
          <w:szCs w:val="28"/>
        </w:rPr>
        <w:t>Recreational Use Statute—</w:t>
      </w:r>
      <w:r w:rsidRPr="00EB6BC8">
        <w:rPr>
          <w:rFonts w:ascii="Times New Roman" w:hAnsi="Times New Roman" w:cs="Times New Roman"/>
          <w:b/>
          <w:bCs/>
          <w:i/>
          <w:iCs/>
          <w:sz w:val="28"/>
          <w:szCs w:val="28"/>
        </w:rPr>
        <w:t>Ex parte City of Millbrook</w:t>
      </w:r>
      <w:r w:rsidRPr="00EB6BC8">
        <w:rPr>
          <w:rFonts w:ascii="Times New Roman" w:hAnsi="Times New Roman" w:cs="Times New Roman"/>
          <w:b/>
          <w:bCs/>
          <w:sz w:val="28"/>
          <w:szCs w:val="28"/>
        </w:rPr>
        <w:t>, 2020 WL 1071325 (Ala. Mar. 6, 2020)</w:t>
      </w:r>
    </w:p>
    <w:p w14:paraId="38FBC32A" w14:textId="77777777" w:rsidR="006F6EFE" w:rsidRPr="00EB6BC8" w:rsidRDefault="006F6EFE" w:rsidP="006F6EFE">
      <w:pPr>
        <w:spacing w:after="0"/>
        <w:jc w:val="both"/>
        <w:rPr>
          <w:rFonts w:ascii="Times New Roman" w:hAnsi="Times New Roman" w:cs="Times New Roman"/>
          <w:bCs/>
          <w:sz w:val="28"/>
          <w:szCs w:val="28"/>
        </w:rPr>
      </w:pPr>
    </w:p>
    <w:p w14:paraId="2D7AFC40"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bCs/>
          <w:sz w:val="28"/>
          <w:szCs w:val="28"/>
        </w:rPr>
        <w:tab/>
        <w:t>T</w:t>
      </w:r>
      <w:r w:rsidRPr="00EB6BC8">
        <w:rPr>
          <w:rFonts w:ascii="Times New Roman" w:hAnsi="Times New Roman" w:cs="Times New Roman"/>
          <w:sz w:val="28"/>
          <w:szCs w:val="28"/>
        </w:rPr>
        <w:t>he City was entitled to immunity only if the civic cen</w:t>
      </w:r>
      <w:r w:rsidRPr="00EB6BC8">
        <w:rPr>
          <w:rFonts w:ascii="Times New Roman" w:hAnsi="Times New Roman" w:cs="Times New Roman"/>
          <w:sz w:val="28"/>
          <w:szCs w:val="28"/>
        </w:rPr>
        <w:softHyphen/>
        <w:t>ter came within the definition of “outdoor recreation</w:t>
      </w:r>
      <w:r w:rsidRPr="00EB6BC8">
        <w:rPr>
          <w:rFonts w:ascii="Times New Roman" w:hAnsi="Times New Roman" w:cs="Times New Roman"/>
          <w:sz w:val="28"/>
          <w:szCs w:val="28"/>
        </w:rPr>
        <w:softHyphen/>
        <w:t>al land”. A “building” is ‘outdoor recreational land’ only if it is adjunct to land or water and it facilitates the recreational use of that land or water.” The Court concluded that the City had not es</w:t>
      </w:r>
      <w:r w:rsidRPr="00EB6BC8">
        <w:rPr>
          <w:rFonts w:ascii="Times New Roman" w:hAnsi="Times New Roman" w:cs="Times New Roman"/>
          <w:sz w:val="28"/>
          <w:szCs w:val="28"/>
        </w:rPr>
        <w:softHyphen/>
        <w:t>tablished that the civic center was the kind of build</w:t>
      </w:r>
      <w:r w:rsidRPr="00EB6BC8">
        <w:rPr>
          <w:rFonts w:ascii="Times New Roman" w:hAnsi="Times New Roman" w:cs="Times New Roman"/>
          <w:sz w:val="28"/>
          <w:szCs w:val="28"/>
        </w:rPr>
        <w:softHyphen/>
        <w:t>ing included in the definition of “outdoor recreation</w:t>
      </w:r>
      <w:r w:rsidRPr="00EB6BC8">
        <w:rPr>
          <w:rFonts w:ascii="Times New Roman" w:hAnsi="Times New Roman" w:cs="Times New Roman"/>
          <w:sz w:val="28"/>
          <w:szCs w:val="28"/>
        </w:rPr>
        <w:softHyphen/>
        <w:t>al land."</w:t>
      </w:r>
    </w:p>
    <w:p w14:paraId="622BDC7E" w14:textId="77777777" w:rsidR="006F6EFE" w:rsidRPr="00EB6BC8" w:rsidRDefault="006F6EFE" w:rsidP="006F6EFE">
      <w:pPr>
        <w:spacing w:after="0"/>
        <w:jc w:val="both"/>
        <w:rPr>
          <w:rFonts w:ascii="Times New Roman" w:hAnsi="Times New Roman" w:cs="Times New Roman"/>
          <w:sz w:val="28"/>
          <w:szCs w:val="28"/>
        </w:rPr>
      </w:pPr>
    </w:p>
    <w:p w14:paraId="47B6C549" w14:textId="77777777" w:rsidR="006F6EFE" w:rsidRPr="00EB6BC8" w:rsidRDefault="006F6EFE" w:rsidP="006F6EFE">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Indemnity/Privileged Materials—</w:t>
      </w:r>
      <w:r w:rsidRPr="00EB6BC8">
        <w:rPr>
          <w:rFonts w:ascii="Times New Roman" w:hAnsi="Times New Roman" w:cs="Times New Roman"/>
          <w:b/>
          <w:bCs/>
          <w:i/>
          <w:iCs/>
          <w:sz w:val="28"/>
          <w:szCs w:val="28"/>
        </w:rPr>
        <w:t>Ex parte Dow Corning Ala., Inc.</w:t>
      </w:r>
      <w:r w:rsidRPr="00EB6BC8">
        <w:rPr>
          <w:rFonts w:ascii="Times New Roman" w:hAnsi="Times New Roman" w:cs="Times New Roman"/>
          <w:b/>
          <w:bCs/>
          <w:sz w:val="28"/>
          <w:szCs w:val="28"/>
        </w:rPr>
        <w:t xml:space="preserve">, 297 So. 3d 373 (Ala. 2019) </w:t>
      </w:r>
    </w:p>
    <w:p w14:paraId="49BB507E" w14:textId="77777777" w:rsidR="006F6EFE" w:rsidRPr="00EB6BC8" w:rsidRDefault="006F6EFE" w:rsidP="006F6EFE">
      <w:pPr>
        <w:spacing w:after="0"/>
        <w:jc w:val="both"/>
        <w:rPr>
          <w:rFonts w:ascii="Times New Roman" w:hAnsi="Times New Roman" w:cs="Times New Roman"/>
          <w:sz w:val="28"/>
          <w:szCs w:val="28"/>
        </w:rPr>
      </w:pPr>
    </w:p>
    <w:p w14:paraId="320BDCD9"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Blue was injured while working at a facility owned by Dow Corning. Blue’s employer was Alabama Electric. Blue sued Dow Corning. The contract between Dow Corning and Alabama Electric contained an indemnity provision </w:t>
      </w:r>
      <w:proofErr w:type="gramStart"/>
      <w:r w:rsidRPr="00EB6BC8">
        <w:rPr>
          <w:rFonts w:ascii="Times New Roman" w:hAnsi="Times New Roman" w:cs="Times New Roman"/>
          <w:sz w:val="28"/>
          <w:szCs w:val="28"/>
        </w:rPr>
        <w:t>and also</w:t>
      </w:r>
      <w:proofErr w:type="gramEnd"/>
      <w:r w:rsidRPr="00EB6BC8">
        <w:rPr>
          <w:rFonts w:ascii="Times New Roman" w:hAnsi="Times New Roman" w:cs="Times New Roman"/>
          <w:sz w:val="28"/>
          <w:szCs w:val="28"/>
        </w:rPr>
        <w:t xml:space="preserve"> </w:t>
      </w:r>
      <w:r w:rsidRPr="00EB6BC8">
        <w:rPr>
          <w:rFonts w:ascii="Times New Roman" w:hAnsi="Times New Roman" w:cs="Times New Roman"/>
          <w:sz w:val="28"/>
          <w:szCs w:val="28"/>
        </w:rPr>
        <w:lastRenderedPageBreak/>
        <w:t xml:space="preserve">required Alabama Electric to maintain liability insurance naming Dow Corning as an additional insured. </w:t>
      </w:r>
    </w:p>
    <w:p w14:paraId="0C2439F7" w14:textId="77777777" w:rsidR="006F6EFE" w:rsidRPr="00EB6BC8" w:rsidRDefault="006F6EFE" w:rsidP="006F6EFE">
      <w:pPr>
        <w:spacing w:after="0"/>
        <w:jc w:val="both"/>
        <w:rPr>
          <w:rFonts w:ascii="Times New Roman" w:hAnsi="Times New Roman" w:cs="Times New Roman"/>
          <w:sz w:val="28"/>
          <w:szCs w:val="28"/>
        </w:rPr>
      </w:pPr>
    </w:p>
    <w:p w14:paraId="64D076FE"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Dow Corning demanded Alabama Electric and National Trust (Alabama Electric's insurer) provide it with a defense and indemnity in Blue’s personal injury action. That request was </w:t>
      </w:r>
      <w:proofErr w:type="gramStart"/>
      <w:r w:rsidRPr="00EB6BC8">
        <w:rPr>
          <w:rFonts w:ascii="Times New Roman" w:hAnsi="Times New Roman" w:cs="Times New Roman"/>
          <w:sz w:val="28"/>
          <w:szCs w:val="28"/>
        </w:rPr>
        <w:t>denied</w:t>
      </w:r>
      <w:proofErr w:type="gramEnd"/>
      <w:r w:rsidRPr="00EB6BC8">
        <w:rPr>
          <w:rFonts w:ascii="Times New Roman" w:hAnsi="Times New Roman" w:cs="Times New Roman"/>
          <w:sz w:val="28"/>
          <w:szCs w:val="28"/>
        </w:rPr>
        <w:t xml:space="preserve"> and Dow Corning's own insurers provided a defense. </w:t>
      </w:r>
    </w:p>
    <w:p w14:paraId="2C71EC4E" w14:textId="77777777" w:rsidR="006F6EFE" w:rsidRPr="00EB6BC8" w:rsidRDefault="006F6EFE" w:rsidP="006F6EFE">
      <w:pPr>
        <w:spacing w:after="0"/>
        <w:jc w:val="both"/>
        <w:rPr>
          <w:rFonts w:ascii="Times New Roman" w:hAnsi="Times New Roman" w:cs="Times New Roman"/>
          <w:sz w:val="28"/>
          <w:szCs w:val="28"/>
        </w:rPr>
      </w:pPr>
    </w:p>
    <w:p w14:paraId="298333BF"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Blue’s action was settled. Alabama Electric and National Trust filed an action seeking a judgment declaring they were not responsible for the defense costs incurred by the Dow Corning or for the settlement proceeds paid to Blue. Alabama Electric and National Trust sought to depose Dow Corning seeking information about Dow Corning’s decision to settle Blue’s claims, along with information about the analysis of those claims and litigation strategy, among other things. Dow Corning objected, asserting the subpoenas called for the production of information protected by the attorney client privilege and the work product doctrine. The trial court denied the defendants’ motion for a protective order. The defendants filed a mandamus petition. </w:t>
      </w:r>
    </w:p>
    <w:p w14:paraId="2964DDD6" w14:textId="77777777" w:rsidR="006F6EFE" w:rsidRPr="00EB6BC8" w:rsidRDefault="006F6EFE" w:rsidP="006F6EFE">
      <w:pPr>
        <w:spacing w:after="0"/>
        <w:jc w:val="both"/>
        <w:rPr>
          <w:rFonts w:ascii="Times New Roman" w:hAnsi="Times New Roman" w:cs="Times New Roman"/>
          <w:sz w:val="28"/>
          <w:szCs w:val="28"/>
        </w:rPr>
      </w:pPr>
    </w:p>
    <w:p w14:paraId="1D9F1E1B" w14:textId="77777777" w:rsidR="006F6EFE" w:rsidRPr="00EB6BC8" w:rsidRDefault="006F6EFE" w:rsidP="006F6EFE">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The Alabama Supreme Court issued a </w:t>
      </w:r>
      <w:r w:rsidR="00395966">
        <w:rPr>
          <w:rFonts w:ascii="Times New Roman" w:hAnsi="Times New Roman" w:cs="Times New Roman"/>
          <w:sz w:val="28"/>
          <w:szCs w:val="28"/>
        </w:rPr>
        <w:t>w</w:t>
      </w:r>
      <w:r w:rsidRPr="00EB6BC8">
        <w:rPr>
          <w:rFonts w:ascii="Times New Roman" w:hAnsi="Times New Roman" w:cs="Times New Roman"/>
          <w:bCs/>
          <w:sz w:val="28"/>
          <w:szCs w:val="28"/>
        </w:rPr>
        <w:t>rit of mandamus</w:t>
      </w:r>
      <w:r w:rsidRPr="00EB6BC8">
        <w:rPr>
          <w:rFonts w:ascii="Times New Roman" w:hAnsi="Times New Roman" w:cs="Times New Roman"/>
          <w:b/>
          <w:bCs/>
          <w:sz w:val="28"/>
          <w:szCs w:val="28"/>
        </w:rPr>
        <w:t xml:space="preserve">. </w:t>
      </w:r>
      <w:r w:rsidRPr="00EB6BC8">
        <w:rPr>
          <w:rFonts w:ascii="Times New Roman" w:hAnsi="Times New Roman" w:cs="Times New Roman"/>
          <w:bCs/>
          <w:sz w:val="28"/>
          <w:szCs w:val="28"/>
        </w:rPr>
        <w:t>T</w:t>
      </w:r>
      <w:r w:rsidRPr="00EB6BC8">
        <w:rPr>
          <w:rFonts w:ascii="Times New Roman" w:hAnsi="Times New Roman" w:cs="Times New Roman"/>
          <w:sz w:val="28"/>
          <w:szCs w:val="28"/>
        </w:rPr>
        <w:t>he Court concluded that proving or disproving the objective reasonableness and good faith of the settlement in Blue’s personal-injury case did not require the production of attorney-client-privileged materials or materials protected by the work-product doctrine. The Court held that the filings, discovery, documentary evidence, witness testimony, nonprivileged correspondence, and other nonprivileged materials generated in connection with Blue’s personal-injury action could be used to evaluate the Dow defendants’ potential liability to Blue and to prove or disprove whether the settlement was reasonable and entered into in good faith.</w:t>
      </w:r>
    </w:p>
    <w:p w14:paraId="7C52B098" w14:textId="77777777" w:rsidR="006F6EFE" w:rsidRPr="00EB6BC8" w:rsidRDefault="006F6EFE" w:rsidP="00DC2187">
      <w:pPr>
        <w:spacing w:after="0"/>
        <w:jc w:val="both"/>
        <w:rPr>
          <w:rFonts w:ascii="Times New Roman" w:hAnsi="Times New Roman" w:cs="Times New Roman"/>
          <w:sz w:val="28"/>
          <w:szCs w:val="28"/>
        </w:rPr>
      </w:pPr>
    </w:p>
    <w:p w14:paraId="0B4DBFAB" w14:textId="77777777" w:rsidR="006F6EFE" w:rsidRPr="00EB6BC8" w:rsidRDefault="006F6EFE" w:rsidP="00DC2187">
      <w:pPr>
        <w:spacing w:after="0"/>
        <w:jc w:val="both"/>
        <w:rPr>
          <w:rFonts w:ascii="Times New Roman" w:hAnsi="Times New Roman" w:cs="Times New Roman"/>
          <w:sz w:val="28"/>
          <w:szCs w:val="28"/>
        </w:rPr>
      </w:pPr>
    </w:p>
    <w:p w14:paraId="40BEADC1" w14:textId="77777777" w:rsidR="00A15DA3" w:rsidRPr="00EB6BC8" w:rsidRDefault="00A15DA3" w:rsidP="00BE6102">
      <w:pPr>
        <w:spacing w:after="0"/>
        <w:jc w:val="both"/>
        <w:rPr>
          <w:rFonts w:ascii="Times New Roman" w:hAnsi="Times New Roman" w:cs="Times New Roman"/>
          <w:b/>
          <w:bCs/>
          <w:iCs/>
          <w:sz w:val="28"/>
          <w:szCs w:val="28"/>
        </w:rPr>
      </w:pPr>
    </w:p>
    <w:p w14:paraId="6E1CAC83" w14:textId="77777777" w:rsidR="00A311FE" w:rsidRPr="00EB6BC8" w:rsidRDefault="0058777F" w:rsidP="00BE6102">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Medical Malpractice causation—</w:t>
      </w:r>
      <w:r w:rsidR="00A311FE" w:rsidRPr="00A56509">
        <w:rPr>
          <w:rFonts w:ascii="Times New Roman" w:hAnsi="Times New Roman" w:cs="Times New Roman"/>
          <w:b/>
          <w:bCs/>
          <w:i/>
          <w:iCs/>
          <w:sz w:val="28"/>
          <w:szCs w:val="28"/>
        </w:rPr>
        <w:t>Hamilton v. Scot</w:t>
      </w:r>
      <w:r w:rsidR="00C742B0" w:rsidRPr="00A56509">
        <w:rPr>
          <w:rFonts w:ascii="Times New Roman" w:hAnsi="Times New Roman" w:cs="Times New Roman"/>
          <w:b/>
          <w:bCs/>
          <w:i/>
          <w:iCs/>
          <w:sz w:val="28"/>
          <w:szCs w:val="28"/>
        </w:rPr>
        <w:t>t</w:t>
      </w:r>
      <w:r w:rsidR="00C742B0" w:rsidRPr="00A56509">
        <w:rPr>
          <w:rFonts w:ascii="Times New Roman" w:hAnsi="Times New Roman" w:cs="Times New Roman"/>
          <w:b/>
          <w:bCs/>
          <w:sz w:val="28"/>
          <w:szCs w:val="28"/>
        </w:rPr>
        <w:t>, 278 So. 3d 1180 (Ala. 2018)</w:t>
      </w:r>
      <w:r w:rsidR="006F68D9" w:rsidRPr="00EB6BC8">
        <w:rPr>
          <w:rFonts w:ascii="Times New Roman" w:hAnsi="Times New Roman" w:cs="Times New Roman"/>
          <w:b/>
          <w:bCs/>
          <w:i/>
          <w:iCs/>
          <w:sz w:val="28"/>
          <w:szCs w:val="28"/>
        </w:rPr>
        <w:t xml:space="preserve"> </w:t>
      </w:r>
    </w:p>
    <w:p w14:paraId="5D1310E7" w14:textId="77777777" w:rsidR="0073545D" w:rsidRPr="00EB6BC8" w:rsidRDefault="0073545D" w:rsidP="0073545D">
      <w:pPr>
        <w:spacing w:after="0"/>
        <w:jc w:val="both"/>
        <w:rPr>
          <w:rFonts w:ascii="Times New Roman" w:hAnsi="Times New Roman" w:cs="Times New Roman"/>
          <w:sz w:val="28"/>
          <w:szCs w:val="28"/>
        </w:rPr>
      </w:pPr>
    </w:p>
    <w:p w14:paraId="3F7C5CBD" w14:textId="77777777" w:rsidR="0073545D" w:rsidRPr="00EB6BC8" w:rsidRDefault="0073545D" w:rsidP="0073545D">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The </w:t>
      </w:r>
      <w:r w:rsidR="00395966">
        <w:rPr>
          <w:rFonts w:ascii="Times New Roman" w:hAnsi="Times New Roman" w:cs="Times New Roman"/>
          <w:sz w:val="28"/>
          <w:szCs w:val="28"/>
        </w:rPr>
        <w:t>p</w:t>
      </w:r>
      <w:r w:rsidRPr="00EB6BC8">
        <w:rPr>
          <w:rFonts w:ascii="Times New Roman" w:hAnsi="Times New Roman" w:cs="Times New Roman"/>
          <w:sz w:val="28"/>
          <w:szCs w:val="28"/>
        </w:rPr>
        <w:t xml:space="preserve">laintiff sued Dr. Scott for wrongful death of a fetus. The </w:t>
      </w:r>
      <w:r w:rsidR="00395966">
        <w:rPr>
          <w:rFonts w:ascii="Times New Roman" w:hAnsi="Times New Roman" w:cs="Times New Roman"/>
          <w:sz w:val="28"/>
          <w:szCs w:val="28"/>
        </w:rPr>
        <w:t>p</w:t>
      </w:r>
      <w:r w:rsidRPr="00EB6BC8">
        <w:rPr>
          <w:rFonts w:ascii="Times New Roman" w:hAnsi="Times New Roman" w:cs="Times New Roman"/>
          <w:sz w:val="28"/>
          <w:szCs w:val="28"/>
        </w:rPr>
        <w:t xml:space="preserve">laintiff argued that if Dr. Scott had followed the standard of care, which required him to refer her to a </w:t>
      </w:r>
      <w:proofErr w:type="spellStart"/>
      <w:r w:rsidRPr="00EB6BC8">
        <w:rPr>
          <w:rFonts w:ascii="Times New Roman" w:hAnsi="Times New Roman" w:cs="Times New Roman"/>
          <w:sz w:val="28"/>
          <w:szCs w:val="28"/>
        </w:rPr>
        <w:t>perinatologist</w:t>
      </w:r>
      <w:proofErr w:type="spellEnd"/>
      <w:r w:rsidRPr="00EB6BC8">
        <w:rPr>
          <w:rFonts w:ascii="Times New Roman" w:hAnsi="Times New Roman" w:cs="Times New Roman"/>
          <w:sz w:val="28"/>
          <w:szCs w:val="28"/>
        </w:rPr>
        <w:t xml:space="preserve"> following the February 25, 2005, ultrasound, hydrops would have been detected earlier, an intrauterine transfusion could have been performed, and </w:t>
      </w:r>
      <w:r w:rsidRPr="00EB6BC8">
        <w:rPr>
          <w:rFonts w:ascii="Times New Roman" w:hAnsi="Times New Roman" w:cs="Times New Roman"/>
          <w:sz w:val="28"/>
          <w:szCs w:val="28"/>
        </w:rPr>
        <w:lastRenderedPageBreak/>
        <w:t xml:space="preserve">that procedure would have ameliorated the effects of the fetus' parvovirus infection. The trial court refused to give the </w:t>
      </w:r>
      <w:r w:rsidR="00395966">
        <w:rPr>
          <w:rFonts w:ascii="Times New Roman" w:hAnsi="Times New Roman" w:cs="Times New Roman"/>
          <w:sz w:val="28"/>
          <w:szCs w:val="28"/>
        </w:rPr>
        <w:t>p</w:t>
      </w:r>
      <w:r w:rsidRPr="00EB6BC8">
        <w:rPr>
          <w:rFonts w:ascii="Times New Roman" w:hAnsi="Times New Roman" w:cs="Times New Roman"/>
          <w:sz w:val="28"/>
          <w:szCs w:val="28"/>
        </w:rPr>
        <w:t>laintiff's better position jury instruction:</w:t>
      </w:r>
    </w:p>
    <w:p w14:paraId="20FE8AF0" w14:textId="77777777" w:rsidR="0073545D" w:rsidRPr="00EB6BC8" w:rsidRDefault="0073545D" w:rsidP="0073545D">
      <w:pPr>
        <w:spacing w:after="0"/>
        <w:jc w:val="both"/>
        <w:rPr>
          <w:rFonts w:ascii="Times New Roman" w:hAnsi="Times New Roman" w:cs="Times New Roman"/>
          <w:sz w:val="28"/>
          <w:szCs w:val="28"/>
        </w:rPr>
      </w:pPr>
    </w:p>
    <w:p w14:paraId="6024EF94" w14:textId="77777777" w:rsidR="0073545D" w:rsidRPr="00EB6BC8" w:rsidRDefault="0073545D" w:rsidP="0073545D">
      <w:pPr>
        <w:spacing w:after="0"/>
        <w:ind w:left="576" w:right="720"/>
        <w:jc w:val="both"/>
        <w:rPr>
          <w:rFonts w:ascii="Times New Roman" w:hAnsi="Times New Roman" w:cs="Times New Roman"/>
          <w:i/>
          <w:iCs/>
          <w:sz w:val="28"/>
          <w:szCs w:val="28"/>
        </w:rPr>
      </w:pPr>
      <w:r w:rsidRPr="00EB6BC8">
        <w:rPr>
          <w:rFonts w:ascii="Times New Roman" w:hAnsi="Times New Roman" w:cs="Times New Roman"/>
          <w:i/>
          <w:iCs/>
          <w:sz w:val="28"/>
          <w:szCs w:val="28"/>
        </w:rPr>
        <w:t xml:space="preserve">Amy Hamilton must prove to your reasonable satisfaction by substantial evidence that prompt diagnosis and treatment would have placed Tristian in a better position than he was in </w:t>
      </w:r>
      <w:proofErr w:type="gramStart"/>
      <w:r w:rsidRPr="00EB6BC8">
        <w:rPr>
          <w:rFonts w:ascii="Times New Roman" w:hAnsi="Times New Roman" w:cs="Times New Roman"/>
          <w:i/>
          <w:iCs/>
          <w:sz w:val="28"/>
          <w:szCs w:val="28"/>
        </w:rPr>
        <w:t>as a result of</w:t>
      </w:r>
      <w:proofErr w:type="gramEnd"/>
      <w:r w:rsidRPr="00EB6BC8">
        <w:rPr>
          <w:rFonts w:ascii="Times New Roman" w:hAnsi="Times New Roman" w:cs="Times New Roman"/>
          <w:i/>
          <w:iCs/>
          <w:sz w:val="28"/>
          <w:szCs w:val="28"/>
        </w:rPr>
        <w:t xml:space="preserve"> inferior medical care. It is not necessary to establish that prompt care could have prevented Tristian's death; rather, Mrs. Hamilton must produce evidence to show that Tristian's condition was adversely affected by the alleged negligence. (Parker v. Collins, 605 So. 2d 824, 827 (Ala. 1992) cited with approval in </w:t>
      </w:r>
      <w:proofErr w:type="spellStart"/>
      <w:r w:rsidRPr="00EB6BC8">
        <w:rPr>
          <w:rFonts w:ascii="Times New Roman" w:hAnsi="Times New Roman" w:cs="Times New Roman"/>
          <w:i/>
          <w:iCs/>
          <w:sz w:val="28"/>
          <w:szCs w:val="28"/>
        </w:rPr>
        <w:t>Hrynkiw</w:t>
      </w:r>
      <w:proofErr w:type="spellEnd"/>
      <w:r w:rsidRPr="00EB6BC8">
        <w:rPr>
          <w:rFonts w:ascii="Times New Roman" w:hAnsi="Times New Roman" w:cs="Times New Roman"/>
          <w:i/>
          <w:iCs/>
          <w:sz w:val="28"/>
          <w:szCs w:val="28"/>
        </w:rPr>
        <w:t xml:space="preserve"> v. Trammell, 96 So. 3d 794, 801-802 (Ala. 2012).​</w:t>
      </w:r>
    </w:p>
    <w:p w14:paraId="0407EB2B" w14:textId="77777777" w:rsidR="0073545D" w:rsidRPr="00EB6BC8" w:rsidRDefault="0073545D" w:rsidP="0073545D">
      <w:pPr>
        <w:spacing w:after="0"/>
        <w:jc w:val="both"/>
        <w:rPr>
          <w:rFonts w:ascii="Times New Roman" w:hAnsi="Times New Roman" w:cs="Times New Roman"/>
          <w:sz w:val="28"/>
          <w:szCs w:val="28"/>
        </w:rPr>
      </w:pPr>
    </w:p>
    <w:p w14:paraId="3ED58166" w14:textId="77777777" w:rsidR="0073545D" w:rsidRPr="00EB6BC8" w:rsidRDefault="0073545D" w:rsidP="0073545D">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The proposed instruction relied upon </w:t>
      </w:r>
      <w:r w:rsidR="003F0F93">
        <w:rPr>
          <w:rFonts w:ascii="Times New Roman" w:hAnsi="Times New Roman" w:cs="Times New Roman"/>
          <w:sz w:val="28"/>
          <w:szCs w:val="28"/>
        </w:rPr>
        <w:t xml:space="preserve">on </w:t>
      </w:r>
      <w:r w:rsidRPr="00EB6BC8">
        <w:rPr>
          <w:rFonts w:ascii="Times New Roman" w:hAnsi="Times New Roman" w:cs="Times New Roman"/>
          <w:sz w:val="28"/>
          <w:szCs w:val="28"/>
        </w:rPr>
        <w:t xml:space="preserve">the </w:t>
      </w:r>
      <w:r w:rsidRPr="00EB6BC8">
        <w:rPr>
          <w:rFonts w:ascii="Times New Roman" w:hAnsi="Times New Roman" w:cs="Times New Roman"/>
          <w:i/>
          <w:iCs/>
          <w:sz w:val="28"/>
          <w:szCs w:val="28"/>
        </w:rPr>
        <w:t>Parker</w:t>
      </w:r>
      <w:r w:rsidRPr="00EB6BC8">
        <w:rPr>
          <w:rFonts w:ascii="Times New Roman" w:hAnsi="Times New Roman" w:cs="Times New Roman"/>
          <w:sz w:val="28"/>
          <w:szCs w:val="28"/>
        </w:rPr>
        <w:t xml:space="preserve"> Court's statement that “the issue of causation in a malpractice case may properly be submitted to the jury where there is evidence that prompt diagnosis and treatment would have placed the patient in a better position than she was in as a result of inferior medical care.” 605 So.2d at 827.</w:t>
      </w:r>
    </w:p>
    <w:p w14:paraId="1FD20969" w14:textId="77777777" w:rsidR="0073545D" w:rsidRPr="00EB6BC8" w:rsidRDefault="0073545D" w:rsidP="0073545D">
      <w:pPr>
        <w:spacing w:after="0"/>
        <w:jc w:val="both"/>
        <w:rPr>
          <w:rFonts w:ascii="Times New Roman" w:hAnsi="Times New Roman" w:cs="Times New Roman"/>
          <w:sz w:val="28"/>
          <w:szCs w:val="28"/>
        </w:rPr>
      </w:pPr>
    </w:p>
    <w:p w14:paraId="57BFD570" w14:textId="77777777" w:rsidR="0073545D" w:rsidRPr="00EB6BC8" w:rsidRDefault="0073545D" w:rsidP="0073545D">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A jury returned a verdict in favor of the </w:t>
      </w:r>
      <w:r w:rsidR="003F0F93">
        <w:rPr>
          <w:rFonts w:ascii="Times New Roman" w:hAnsi="Times New Roman" w:cs="Times New Roman"/>
          <w:sz w:val="28"/>
          <w:szCs w:val="28"/>
        </w:rPr>
        <w:t>d</w:t>
      </w:r>
      <w:r w:rsidRPr="00EB6BC8">
        <w:rPr>
          <w:rFonts w:ascii="Times New Roman" w:hAnsi="Times New Roman" w:cs="Times New Roman"/>
          <w:sz w:val="28"/>
          <w:szCs w:val="28"/>
        </w:rPr>
        <w:t xml:space="preserve">efendant and the </w:t>
      </w:r>
      <w:r w:rsidR="003F0F93">
        <w:rPr>
          <w:rFonts w:ascii="Times New Roman" w:hAnsi="Times New Roman" w:cs="Times New Roman"/>
          <w:sz w:val="28"/>
          <w:szCs w:val="28"/>
        </w:rPr>
        <w:t>p</w:t>
      </w:r>
      <w:r w:rsidRPr="00EB6BC8">
        <w:rPr>
          <w:rFonts w:ascii="Times New Roman" w:hAnsi="Times New Roman" w:cs="Times New Roman"/>
          <w:sz w:val="28"/>
          <w:szCs w:val="28"/>
        </w:rPr>
        <w:t>laintiff appealed. The Court held: "the trial court erred in failing to give the requested jury instructions espousing Parker's “better-position” principle. We emphasize that, in a wrongful-death case such as this one in which the “better position” principle applies, it remains necessary for the plaintiff to establish that prompt care probably would have prevented the patient's death."</w:t>
      </w:r>
    </w:p>
    <w:p w14:paraId="756C10C9" w14:textId="77777777" w:rsidR="0073545D" w:rsidRPr="00EB6BC8" w:rsidRDefault="0073545D" w:rsidP="0073545D">
      <w:pPr>
        <w:spacing w:after="0"/>
        <w:jc w:val="both"/>
        <w:rPr>
          <w:rFonts w:ascii="Times New Roman" w:hAnsi="Times New Roman" w:cs="Times New Roman"/>
          <w:sz w:val="28"/>
          <w:szCs w:val="28"/>
        </w:rPr>
      </w:pPr>
    </w:p>
    <w:p w14:paraId="4DCCECD3" w14:textId="77777777" w:rsidR="0073545D" w:rsidRPr="00EB6BC8" w:rsidRDefault="002F152A" w:rsidP="0073545D">
      <w:pPr>
        <w:spacing w:after="0"/>
        <w:jc w:val="both"/>
        <w:rPr>
          <w:rFonts w:ascii="Times New Roman" w:hAnsi="Times New Roman" w:cs="Times New Roman"/>
          <w:sz w:val="28"/>
          <w:szCs w:val="28"/>
        </w:rPr>
      </w:pPr>
      <w:r>
        <w:rPr>
          <w:rFonts w:ascii="Times New Roman" w:hAnsi="Times New Roman" w:cs="Times New Roman"/>
          <w:sz w:val="28"/>
          <w:szCs w:val="28"/>
        </w:rPr>
        <w:tab/>
      </w:r>
      <w:r w:rsidR="0073545D" w:rsidRPr="00EB6BC8">
        <w:rPr>
          <w:rFonts w:ascii="Times New Roman" w:hAnsi="Times New Roman" w:cs="Times New Roman"/>
          <w:sz w:val="28"/>
          <w:szCs w:val="28"/>
        </w:rPr>
        <w:t xml:space="preserve">Justice Shaw's dissent in </w:t>
      </w:r>
      <w:r w:rsidR="0073545D" w:rsidRPr="00EB6BC8">
        <w:rPr>
          <w:rFonts w:ascii="Times New Roman" w:hAnsi="Times New Roman" w:cs="Times New Roman"/>
          <w:i/>
          <w:iCs/>
          <w:sz w:val="28"/>
          <w:szCs w:val="28"/>
        </w:rPr>
        <w:t>Hamilton</w:t>
      </w:r>
      <w:r w:rsidR="0073545D" w:rsidRPr="00EB6BC8">
        <w:rPr>
          <w:rFonts w:ascii="Times New Roman" w:hAnsi="Times New Roman" w:cs="Times New Roman"/>
          <w:sz w:val="28"/>
          <w:szCs w:val="28"/>
        </w:rPr>
        <w:t xml:space="preserve"> points out that the negative affect in a wrongful death case is </w:t>
      </w:r>
      <w:r w:rsidR="0073545D" w:rsidRPr="00EB6BC8">
        <w:rPr>
          <w:rFonts w:ascii="Times New Roman" w:hAnsi="Times New Roman" w:cs="Times New Roman"/>
          <w:sz w:val="28"/>
          <w:szCs w:val="28"/>
          <w:u w:val="single"/>
        </w:rPr>
        <w:t>death</w:t>
      </w:r>
      <w:r w:rsidR="0073545D" w:rsidRPr="00EB6BC8">
        <w:rPr>
          <w:rFonts w:ascii="Times New Roman" w:hAnsi="Times New Roman" w:cs="Times New Roman"/>
          <w:sz w:val="28"/>
          <w:szCs w:val="28"/>
        </w:rPr>
        <w:t>. So, the "better position" principle is just a convoluted way of saying the plaintiff probably would not have died if the plaintiff had received timely medical care/diagnosis.</w:t>
      </w:r>
    </w:p>
    <w:p w14:paraId="49A63398" w14:textId="77777777" w:rsidR="00DC2187" w:rsidRPr="00EB6BC8" w:rsidRDefault="00DC2187" w:rsidP="003A46AA">
      <w:pPr>
        <w:spacing w:after="0"/>
        <w:jc w:val="both"/>
        <w:rPr>
          <w:rFonts w:ascii="Times New Roman" w:hAnsi="Times New Roman" w:cs="Times New Roman"/>
          <w:b/>
          <w:bCs/>
          <w:iCs/>
          <w:sz w:val="28"/>
          <w:szCs w:val="28"/>
        </w:rPr>
      </w:pPr>
    </w:p>
    <w:p w14:paraId="08161900" w14:textId="77777777" w:rsidR="003A46AA" w:rsidRPr="00EB6BC8" w:rsidRDefault="003A46AA" w:rsidP="003A46AA">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Medical Malpractice Expert Testimony—</w:t>
      </w:r>
      <w:r w:rsidRPr="00EB6BC8">
        <w:rPr>
          <w:rFonts w:ascii="Times New Roman" w:hAnsi="Times New Roman" w:cs="Times New Roman"/>
          <w:b/>
          <w:bCs/>
          <w:i/>
          <w:iCs/>
          <w:sz w:val="28"/>
          <w:szCs w:val="28"/>
        </w:rPr>
        <w:t>Youngblood v. Martin</w:t>
      </w:r>
      <w:r w:rsidRPr="00EB6BC8">
        <w:rPr>
          <w:rFonts w:ascii="Times New Roman" w:hAnsi="Times New Roman" w:cs="Times New Roman"/>
          <w:b/>
          <w:bCs/>
          <w:sz w:val="28"/>
          <w:szCs w:val="28"/>
        </w:rPr>
        <w:t xml:space="preserve">, 298 So. 3d 1056 (Ala. 2020) </w:t>
      </w:r>
    </w:p>
    <w:p w14:paraId="52C9D31D" w14:textId="77777777" w:rsidR="003A46AA" w:rsidRPr="00EB6BC8" w:rsidRDefault="003A46AA" w:rsidP="003A46AA">
      <w:pPr>
        <w:spacing w:after="0"/>
        <w:jc w:val="both"/>
        <w:rPr>
          <w:rFonts w:ascii="Times New Roman" w:hAnsi="Times New Roman" w:cs="Times New Roman"/>
          <w:sz w:val="28"/>
          <w:szCs w:val="28"/>
        </w:rPr>
      </w:pPr>
    </w:p>
    <w:p w14:paraId="23B4EFA1" w14:textId="77777777" w:rsidR="003A46AA" w:rsidRPr="00EB6BC8" w:rsidRDefault="003A46AA" w:rsidP="003A46AA">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The </w:t>
      </w:r>
      <w:r w:rsidR="003F0F93">
        <w:rPr>
          <w:rFonts w:ascii="Times New Roman" w:hAnsi="Times New Roman" w:cs="Times New Roman"/>
          <w:sz w:val="28"/>
          <w:szCs w:val="28"/>
        </w:rPr>
        <w:t>p</w:t>
      </w:r>
      <w:r w:rsidRPr="00EB6BC8">
        <w:rPr>
          <w:rFonts w:ascii="Times New Roman" w:hAnsi="Times New Roman" w:cs="Times New Roman"/>
          <w:sz w:val="28"/>
          <w:szCs w:val="28"/>
        </w:rPr>
        <w:t>laintiff's expert never testified he was ‘li</w:t>
      </w:r>
      <w:r w:rsidRPr="00EB6BC8">
        <w:rPr>
          <w:rFonts w:ascii="Times New Roman" w:hAnsi="Times New Roman" w:cs="Times New Roman"/>
          <w:sz w:val="28"/>
          <w:szCs w:val="28"/>
        </w:rPr>
        <w:softHyphen/>
        <w:t xml:space="preserve">censed by the appropriate regulatory board or agency of this or some other state’ pursuant to § 6-5-548(c)(1). </w:t>
      </w:r>
    </w:p>
    <w:p w14:paraId="6F59C322" w14:textId="77777777" w:rsidR="003A46AA" w:rsidRPr="00EB6BC8" w:rsidRDefault="003A46AA" w:rsidP="0073545D">
      <w:pPr>
        <w:spacing w:after="0"/>
        <w:jc w:val="both"/>
        <w:rPr>
          <w:rFonts w:ascii="Times New Roman" w:hAnsi="Times New Roman" w:cs="Times New Roman"/>
          <w:sz w:val="28"/>
          <w:szCs w:val="28"/>
        </w:rPr>
      </w:pPr>
    </w:p>
    <w:p w14:paraId="619FF2C6" w14:textId="77777777" w:rsidR="0088245B" w:rsidRPr="00EB6BC8" w:rsidRDefault="0088245B" w:rsidP="0088245B">
      <w:pPr>
        <w:spacing w:after="0"/>
        <w:rPr>
          <w:rFonts w:ascii="Times New Roman" w:hAnsi="Times New Roman" w:cs="Times New Roman"/>
          <w:b/>
          <w:bCs/>
          <w:i/>
          <w:iCs/>
          <w:sz w:val="28"/>
          <w:szCs w:val="28"/>
        </w:rPr>
      </w:pPr>
      <w:proofErr w:type="spellStart"/>
      <w:r w:rsidRPr="00EB6BC8">
        <w:rPr>
          <w:rFonts w:ascii="Times New Roman" w:hAnsi="Times New Roman" w:cs="Times New Roman"/>
          <w:b/>
          <w:bCs/>
          <w:iCs/>
          <w:sz w:val="28"/>
          <w:szCs w:val="28"/>
        </w:rPr>
        <w:lastRenderedPageBreak/>
        <w:t>Respondeat</w:t>
      </w:r>
      <w:proofErr w:type="spellEnd"/>
      <w:r w:rsidRPr="00EB6BC8">
        <w:rPr>
          <w:rFonts w:ascii="Times New Roman" w:hAnsi="Times New Roman" w:cs="Times New Roman"/>
          <w:b/>
          <w:bCs/>
          <w:iCs/>
          <w:sz w:val="28"/>
          <w:szCs w:val="28"/>
        </w:rPr>
        <w:t xml:space="preserve"> Superior—</w:t>
      </w:r>
      <w:r w:rsidRPr="00EB6BC8">
        <w:rPr>
          <w:rFonts w:ascii="Times New Roman" w:hAnsi="Times New Roman" w:cs="Times New Roman"/>
          <w:b/>
          <w:bCs/>
          <w:i/>
          <w:iCs/>
          <w:sz w:val="28"/>
          <w:szCs w:val="28"/>
        </w:rPr>
        <w:t xml:space="preserve">Hinkle Metals &amp; Supply Co., Inc. v. </w:t>
      </w:r>
      <w:proofErr w:type="spellStart"/>
      <w:r w:rsidRPr="00EB6BC8">
        <w:rPr>
          <w:rFonts w:ascii="Times New Roman" w:hAnsi="Times New Roman" w:cs="Times New Roman"/>
          <w:b/>
          <w:bCs/>
          <w:i/>
          <w:iCs/>
          <w:sz w:val="28"/>
          <w:szCs w:val="28"/>
        </w:rPr>
        <w:t>Feltman</w:t>
      </w:r>
      <w:proofErr w:type="spellEnd"/>
      <w:r w:rsidRPr="00EB6BC8">
        <w:rPr>
          <w:rFonts w:ascii="Times New Roman" w:hAnsi="Times New Roman" w:cs="Times New Roman"/>
          <w:b/>
          <w:bCs/>
          <w:sz w:val="28"/>
          <w:szCs w:val="28"/>
        </w:rPr>
        <w:t>, 280 So. 3d 1031 (Ala. 2019)</w:t>
      </w:r>
      <w:r w:rsidRPr="00EB6BC8">
        <w:rPr>
          <w:rFonts w:ascii="Times New Roman" w:hAnsi="Times New Roman" w:cs="Times New Roman"/>
          <w:b/>
          <w:bCs/>
          <w:i/>
          <w:iCs/>
          <w:sz w:val="28"/>
          <w:szCs w:val="28"/>
        </w:rPr>
        <w:t xml:space="preserve"> </w:t>
      </w:r>
    </w:p>
    <w:p w14:paraId="503186D9" w14:textId="77777777" w:rsidR="0088245B" w:rsidRPr="00EB6BC8" w:rsidRDefault="0088245B" w:rsidP="0088245B">
      <w:pPr>
        <w:spacing w:after="0"/>
        <w:jc w:val="both"/>
        <w:rPr>
          <w:rFonts w:ascii="Times New Roman" w:hAnsi="Times New Roman" w:cs="Times New Roman"/>
          <w:sz w:val="28"/>
          <w:szCs w:val="28"/>
        </w:rPr>
      </w:pPr>
    </w:p>
    <w:p w14:paraId="170F0269"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fact an employee combines personal activities with the employer’s business does not necessarily signify an action outside the scope of employment. In such a case, the ques</w:t>
      </w:r>
      <w:r w:rsidRPr="00EB6BC8">
        <w:rPr>
          <w:rFonts w:ascii="Times New Roman" w:hAnsi="Times New Roman" w:cs="Times New Roman"/>
          <w:sz w:val="28"/>
          <w:szCs w:val="28"/>
        </w:rPr>
        <w:softHyphen/>
        <w:t>tion whether the employee was acting within the line and scope of his employment is a factual question for the jury.</w:t>
      </w:r>
    </w:p>
    <w:p w14:paraId="35DC25E0" w14:textId="77777777" w:rsidR="0088245B" w:rsidRPr="00EB6BC8" w:rsidRDefault="0088245B" w:rsidP="0088245B">
      <w:pPr>
        <w:spacing w:after="0"/>
        <w:jc w:val="both"/>
        <w:rPr>
          <w:rFonts w:ascii="Times New Roman" w:hAnsi="Times New Roman" w:cs="Times New Roman"/>
          <w:sz w:val="28"/>
          <w:szCs w:val="28"/>
        </w:rPr>
      </w:pPr>
    </w:p>
    <w:p w14:paraId="59A5D0E6" w14:textId="77777777" w:rsidR="0088245B" w:rsidRPr="00EB6BC8" w:rsidRDefault="0088245B" w:rsidP="0088245B">
      <w:pPr>
        <w:spacing w:after="0"/>
        <w:jc w:val="both"/>
        <w:rPr>
          <w:rFonts w:ascii="Times New Roman" w:hAnsi="Times New Roman" w:cs="Times New Roman"/>
          <w:b/>
          <w:bCs/>
          <w:sz w:val="28"/>
          <w:szCs w:val="28"/>
        </w:rPr>
      </w:pPr>
      <w:r w:rsidRPr="00EB6BC8">
        <w:rPr>
          <w:rFonts w:ascii="Times New Roman" w:hAnsi="Times New Roman" w:cs="Times New Roman"/>
          <w:b/>
          <w:bCs/>
          <w:sz w:val="28"/>
          <w:szCs w:val="28"/>
        </w:rPr>
        <w:t>Vicari</w:t>
      </w:r>
      <w:r w:rsidRPr="00EB6BC8">
        <w:rPr>
          <w:rFonts w:ascii="Times New Roman" w:hAnsi="Times New Roman" w:cs="Times New Roman"/>
          <w:b/>
          <w:bCs/>
          <w:sz w:val="28"/>
          <w:szCs w:val="28"/>
        </w:rPr>
        <w:softHyphen/>
        <w:t>ous Liability—</w:t>
      </w:r>
      <w:r w:rsidRPr="00EB6BC8">
        <w:rPr>
          <w:rFonts w:ascii="Times New Roman" w:hAnsi="Times New Roman" w:cs="Times New Roman"/>
          <w:b/>
          <w:bCs/>
          <w:i/>
          <w:iCs/>
          <w:sz w:val="28"/>
          <w:szCs w:val="28"/>
        </w:rPr>
        <w:t xml:space="preserve">Synergies3 Tec Servs., LLC v. </w:t>
      </w:r>
      <w:proofErr w:type="spellStart"/>
      <w:r w:rsidRPr="00EB6BC8">
        <w:rPr>
          <w:rFonts w:ascii="Times New Roman" w:hAnsi="Times New Roman" w:cs="Times New Roman"/>
          <w:b/>
          <w:bCs/>
          <w:i/>
          <w:iCs/>
          <w:sz w:val="28"/>
          <w:szCs w:val="28"/>
        </w:rPr>
        <w:t>Corvo</w:t>
      </w:r>
      <w:proofErr w:type="spellEnd"/>
      <w:r w:rsidRPr="00EB6BC8">
        <w:rPr>
          <w:rFonts w:ascii="Times New Roman" w:hAnsi="Times New Roman" w:cs="Times New Roman"/>
          <w:b/>
          <w:bCs/>
          <w:sz w:val="28"/>
          <w:szCs w:val="28"/>
        </w:rPr>
        <w:t xml:space="preserve">, 2020 WL 4913636 (Ala. Aug. 21, 2020) </w:t>
      </w:r>
    </w:p>
    <w:p w14:paraId="494BEF2E" w14:textId="77777777" w:rsidR="0088245B" w:rsidRPr="00EB6BC8" w:rsidRDefault="0088245B" w:rsidP="0088245B">
      <w:pPr>
        <w:spacing w:after="0"/>
        <w:jc w:val="both"/>
        <w:rPr>
          <w:rFonts w:ascii="Times New Roman" w:hAnsi="Times New Roman" w:cs="Times New Roman"/>
          <w:bCs/>
          <w:sz w:val="28"/>
          <w:szCs w:val="28"/>
        </w:rPr>
      </w:pPr>
    </w:p>
    <w:p w14:paraId="01239992"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bCs/>
          <w:sz w:val="28"/>
          <w:szCs w:val="28"/>
        </w:rPr>
        <w:tab/>
        <w:t>The Plaintiffs sued</w:t>
      </w:r>
      <w:r w:rsidRPr="00EB6BC8">
        <w:rPr>
          <w:rFonts w:ascii="Times New Roman" w:hAnsi="Times New Roman" w:cs="Times New Roman"/>
          <w:b/>
          <w:bCs/>
          <w:sz w:val="28"/>
          <w:szCs w:val="28"/>
        </w:rPr>
        <w:t xml:space="preserve"> </w:t>
      </w:r>
      <w:r w:rsidRPr="00EB6BC8">
        <w:rPr>
          <w:rFonts w:ascii="Times New Roman" w:hAnsi="Times New Roman" w:cs="Times New Roman"/>
          <w:sz w:val="28"/>
          <w:szCs w:val="28"/>
        </w:rPr>
        <w:t>McLaughlin, Castro, DI</w:t>
      </w:r>
      <w:r w:rsidRPr="00EB6BC8">
        <w:rPr>
          <w:rFonts w:ascii="Times New Roman" w:hAnsi="Times New Roman" w:cs="Times New Roman"/>
          <w:sz w:val="28"/>
          <w:szCs w:val="28"/>
        </w:rPr>
        <w:softHyphen/>
        <w:t xml:space="preserve">RECTV, LLC and Synergies3 Tec Services, LLC asserting claims of conversion and theft of a diamond and $160 cash that, they alleged, had been taken from </w:t>
      </w:r>
      <w:proofErr w:type="spellStart"/>
      <w:r w:rsidRPr="00EB6BC8">
        <w:rPr>
          <w:rFonts w:ascii="Times New Roman" w:hAnsi="Times New Roman" w:cs="Times New Roman"/>
          <w:sz w:val="28"/>
          <w:szCs w:val="28"/>
        </w:rPr>
        <w:t>Corvo’s</w:t>
      </w:r>
      <w:proofErr w:type="spellEnd"/>
      <w:r w:rsidRPr="00EB6BC8">
        <w:rPr>
          <w:rFonts w:ascii="Times New Roman" w:hAnsi="Times New Roman" w:cs="Times New Roman"/>
          <w:sz w:val="28"/>
          <w:szCs w:val="28"/>
        </w:rPr>
        <w:t xml:space="preserve"> house on Ono Island when McLaughlin and Castro, employees of Synergies, installed DIRECTV equipment in </w:t>
      </w:r>
      <w:proofErr w:type="spellStart"/>
      <w:r w:rsidRPr="00EB6BC8">
        <w:rPr>
          <w:rFonts w:ascii="Times New Roman" w:hAnsi="Times New Roman" w:cs="Times New Roman"/>
          <w:sz w:val="28"/>
          <w:szCs w:val="28"/>
        </w:rPr>
        <w:t>Corvo’s</w:t>
      </w:r>
      <w:proofErr w:type="spellEnd"/>
      <w:r w:rsidRPr="00EB6BC8">
        <w:rPr>
          <w:rFonts w:ascii="Times New Roman" w:hAnsi="Times New Roman" w:cs="Times New Roman"/>
          <w:sz w:val="28"/>
          <w:szCs w:val="28"/>
        </w:rPr>
        <w:t xml:space="preserve"> house. </w:t>
      </w:r>
    </w:p>
    <w:p w14:paraId="4DC7320E" w14:textId="77777777" w:rsidR="0088245B" w:rsidRPr="00EB6BC8" w:rsidRDefault="0088245B" w:rsidP="0088245B">
      <w:pPr>
        <w:spacing w:after="0"/>
        <w:jc w:val="both"/>
        <w:rPr>
          <w:rFonts w:ascii="Times New Roman" w:hAnsi="Times New Roman" w:cs="Times New Roman"/>
          <w:sz w:val="28"/>
          <w:szCs w:val="28"/>
        </w:rPr>
      </w:pPr>
    </w:p>
    <w:p w14:paraId="6DD82FE1"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McLaughlin and Castro failed to </w:t>
      </w:r>
      <w:proofErr w:type="gramStart"/>
      <w:r w:rsidRPr="00EB6BC8">
        <w:rPr>
          <w:rFonts w:ascii="Times New Roman" w:hAnsi="Times New Roman" w:cs="Times New Roman"/>
          <w:sz w:val="28"/>
          <w:szCs w:val="28"/>
        </w:rPr>
        <w:t>answer</w:t>
      </w:r>
      <w:proofErr w:type="gramEnd"/>
      <w:r w:rsidRPr="00EB6BC8">
        <w:rPr>
          <w:rFonts w:ascii="Times New Roman" w:hAnsi="Times New Roman" w:cs="Times New Roman"/>
          <w:sz w:val="28"/>
          <w:szCs w:val="28"/>
        </w:rPr>
        <w:t xml:space="preserve"> and default judgments were entered against them, reserving damages for trial. The jury rendered a verdict in favor of the Plaintiff </w:t>
      </w:r>
      <w:proofErr w:type="spellStart"/>
      <w:r w:rsidRPr="00EB6BC8">
        <w:rPr>
          <w:rFonts w:ascii="Times New Roman" w:hAnsi="Times New Roman" w:cs="Times New Roman"/>
          <w:sz w:val="28"/>
          <w:szCs w:val="28"/>
        </w:rPr>
        <w:t>Corvo</w:t>
      </w:r>
      <w:proofErr w:type="spellEnd"/>
      <w:r w:rsidRPr="00EB6BC8">
        <w:rPr>
          <w:rFonts w:ascii="Times New Roman" w:hAnsi="Times New Roman" w:cs="Times New Roman"/>
          <w:sz w:val="28"/>
          <w:szCs w:val="28"/>
        </w:rPr>
        <w:t xml:space="preserve"> in the amount of $300,000 and in favor of Plaintiff Bonds in the amount of $65,160. The verdict form indicated that $40,000 was awarded for the diamond, $160 for the cash, $75,000 for mental anguish, an</w:t>
      </w:r>
      <w:r w:rsidR="003F0F93">
        <w:rPr>
          <w:rFonts w:ascii="Times New Roman" w:hAnsi="Times New Roman" w:cs="Times New Roman"/>
          <w:sz w:val="28"/>
          <w:szCs w:val="28"/>
        </w:rPr>
        <w:t>d $250,000 as punitive damages.</w:t>
      </w:r>
    </w:p>
    <w:p w14:paraId="19B1CC84" w14:textId="77777777" w:rsidR="0088245B" w:rsidRPr="00EB6BC8" w:rsidRDefault="0088245B" w:rsidP="0088245B">
      <w:pPr>
        <w:spacing w:after="0"/>
        <w:jc w:val="both"/>
        <w:rPr>
          <w:rFonts w:ascii="Times New Roman" w:hAnsi="Times New Roman" w:cs="Times New Roman"/>
          <w:sz w:val="28"/>
          <w:szCs w:val="28"/>
        </w:rPr>
      </w:pPr>
    </w:p>
    <w:p w14:paraId="54FFAE81"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3F0F93">
        <w:rPr>
          <w:rFonts w:ascii="Times New Roman" w:hAnsi="Times New Roman" w:cs="Times New Roman"/>
          <w:sz w:val="28"/>
          <w:szCs w:val="28"/>
        </w:rPr>
        <w:t>On appeal, t</w:t>
      </w:r>
      <w:r w:rsidRPr="00EB6BC8">
        <w:rPr>
          <w:rFonts w:ascii="Times New Roman" w:hAnsi="Times New Roman" w:cs="Times New Roman"/>
          <w:sz w:val="28"/>
          <w:szCs w:val="28"/>
        </w:rPr>
        <w:t xml:space="preserve">he Court stated the trial court should have entered a judgment as a matter of law in favor of Synergies and DIRECTV on the </w:t>
      </w:r>
      <w:proofErr w:type="spellStart"/>
      <w:r w:rsidRPr="00EB6BC8">
        <w:rPr>
          <w:rFonts w:ascii="Times New Roman" w:hAnsi="Times New Roman" w:cs="Times New Roman"/>
          <w:sz w:val="28"/>
          <w:szCs w:val="28"/>
        </w:rPr>
        <w:t>respondeat</w:t>
      </w:r>
      <w:proofErr w:type="spellEnd"/>
      <w:r w:rsidRPr="00EB6BC8">
        <w:rPr>
          <w:rFonts w:ascii="Times New Roman" w:hAnsi="Times New Roman" w:cs="Times New Roman"/>
          <w:sz w:val="28"/>
          <w:szCs w:val="28"/>
        </w:rPr>
        <w:t xml:space="preserve"> superior claim because the employees' alleged theft and conversion were actions outside the line and scope of employment. </w:t>
      </w:r>
      <w:r w:rsidR="003F0F93">
        <w:rPr>
          <w:rFonts w:ascii="Times New Roman" w:hAnsi="Times New Roman" w:cs="Times New Roman"/>
          <w:sz w:val="28"/>
          <w:szCs w:val="28"/>
        </w:rPr>
        <w:t>T</w:t>
      </w:r>
      <w:r w:rsidRPr="00EB6BC8">
        <w:rPr>
          <w:rFonts w:ascii="Times New Roman" w:hAnsi="Times New Roman" w:cs="Times New Roman"/>
          <w:sz w:val="28"/>
          <w:szCs w:val="28"/>
        </w:rPr>
        <w:t>he Court</w:t>
      </w:r>
      <w:r w:rsidR="003F0F93">
        <w:rPr>
          <w:rFonts w:ascii="Times New Roman" w:hAnsi="Times New Roman" w:cs="Times New Roman"/>
          <w:sz w:val="28"/>
          <w:szCs w:val="28"/>
        </w:rPr>
        <w:t xml:space="preserve"> also</w:t>
      </w:r>
      <w:r w:rsidRPr="00EB6BC8">
        <w:rPr>
          <w:rFonts w:ascii="Times New Roman" w:hAnsi="Times New Roman" w:cs="Times New Roman"/>
          <w:sz w:val="28"/>
          <w:szCs w:val="28"/>
        </w:rPr>
        <w:t xml:space="preserve"> held punitive damages were improperly awarded. </w:t>
      </w:r>
      <w:r w:rsidR="003F0F93">
        <w:rPr>
          <w:rFonts w:ascii="Times New Roman" w:hAnsi="Times New Roman" w:cs="Times New Roman"/>
          <w:sz w:val="28"/>
          <w:szCs w:val="28"/>
        </w:rPr>
        <w:t>Since</w:t>
      </w:r>
      <w:r w:rsidRPr="00EB6BC8">
        <w:rPr>
          <w:rFonts w:ascii="Times New Roman" w:hAnsi="Times New Roman" w:cs="Times New Roman"/>
          <w:sz w:val="28"/>
          <w:szCs w:val="28"/>
        </w:rPr>
        <w:t xml:space="preserve"> theft and conversion were outside the line and scope of employment and Synergies and DI</w:t>
      </w:r>
      <w:r w:rsidRPr="00EB6BC8">
        <w:rPr>
          <w:rFonts w:ascii="Times New Roman" w:hAnsi="Times New Roman" w:cs="Times New Roman"/>
          <w:sz w:val="28"/>
          <w:szCs w:val="28"/>
        </w:rPr>
        <w:softHyphen/>
        <w:t xml:space="preserve">RECTV were not vicariously </w:t>
      </w:r>
      <w:r w:rsidR="000157B0">
        <w:rPr>
          <w:rFonts w:ascii="Times New Roman" w:hAnsi="Times New Roman" w:cs="Times New Roman"/>
          <w:sz w:val="28"/>
          <w:szCs w:val="28"/>
        </w:rPr>
        <w:t>(</w:t>
      </w:r>
      <w:r w:rsidRPr="00EB6BC8">
        <w:rPr>
          <w:rFonts w:ascii="Times New Roman" w:hAnsi="Times New Roman" w:cs="Times New Roman"/>
          <w:sz w:val="28"/>
          <w:szCs w:val="28"/>
        </w:rPr>
        <w:t>or directly</w:t>
      </w:r>
      <w:r w:rsidR="000157B0">
        <w:rPr>
          <w:rFonts w:ascii="Times New Roman" w:hAnsi="Times New Roman" w:cs="Times New Roman"/>
          <w:sz w:val="28"/>
          <w:szCs w:val="28"/>
        </w:rPr>
        <w:t>)</w:t>
      </w:r>
      <w:r w:rsidRPr="00EB6BC8">
        <w:rPr>
          <w:rFonts w:ascii="Times New Roman" w:hAnsi="Times New Roman" w:cs="Times New Roman"/>
          <w:sz w:val="28"/>
          <w:szCs w:val="28"/>
        </w:rPr>
        <w:t xml:space="preserve"> liable on those claims, there was no basis </w:t>
      </w:r>
      <w:r w:rsidR="000157B0">
        <w:rPr>
          <w:rFonts w:ascii="Times New Roman" w:hAnsi="Times New Roman" w:cs="Times New Roman"/>
          <w:sz w:val="28"/>
          <w:szCs w:val="28"/>
        </w:rPr>
        <w:t>for</w:t>
      </w:r>
      <w:r w:rsidRPr="00EB6BC8">
        <w:rPr>
          <w:rFonts w:ascii="Times New Roman" w:hAnsi="Times New Roman" w:cs="Times New Roman"/>
          <w:sz w:val="28"/>
          <w:szCs w:val="28"/>
        </w:rPr>
        <w:t xml:space="preserve"> punitive damages</w:t>
      </w:r>
      <w:r w:rsidR="000157B0">
        <w:rPr>
          <w:rFonts w:ascii="Times New Roman" w:hAnsi="Times New Roman" w:cs="Times New Roman"/>
          <w:sz w:val="28"/>
          <w:szCs w:val="28"/>
        </w:rPr>
        <w:t>.</w:t>
      </w:r>
      <w:r w:rsidRPr="00EB6BC8">
        <w:rPr>
          <w:rFonts w:ascii="Times New Roman" w:hAnsi="Times New Roman" w:cs="Times New Roman"/>
          <w:sz w:val="28"/>
          <w:szCs w:val="28"/>
        </w:rPr>
        <w:t xml:space="preserve"> </w:t>
      </w:r>
    </w:p>
    <w:p w14:paraId="6FD680CC" w14:textId="77777777" w:rsidR="0088245B" w:rsidRPr="00EB6BC8" w:rsidRDefault="0088245B" w:rsidP="0088245B">
      <w:pPr>
        <w:spacing w:after="0"/>
        <w:rPr>
          <w:rFonts w:ascii="Times New Roman" w:hAnsi="Times New Roman" w:cs="Times New Roman"/>
          <w:sz w:val="28"/>
          <w:szCs w:val="28"/>
        </w:rPr>
      </w:pPr>
    </w:p>
    <w:p w14:paraId="13180E91" w14:textId="77777777" w:rsidR="0088245B" w:rsidRPr="00EB6BC8" w:rsidRDefault="0088245B" w:rsidP="0088245B">
      <w:pPr>
        <w:spacing w:after="0"/>
        <w:rPr>
          <w:rFonts w:ascii="Times New Roman" w:hAnsi="Times New Roman" w:cs="Times New Roman"/>
          <w:sz w:val="28"/>
          <w:szCs w:val="28"/>
        </w:rPr>
      </w:pPr>
      <w:r w:rsidRPr="00EB6BC8">
        <w:rPr>
          <w:rFonts w:ascii="Times New Roman" w:hAnsi="Times New Roman" w:cs="Times New Roman"/>
          <w:b/>
          <w:bCs/>
          <w:iCs/>
          <w:sz w:val="28"/>
          <w:szCs w:val="28"/>
        </w:rPr>
        <w:t>Premises Liability—</w:t>
      </w:r>
      <w:r w:rsidRPr="00EB6BC8">
        <w:rPr>
          <w:rFonts w:ascii="Times New Roman" w:hAnsi="Times New Roman" w:cs="Times New Roman"/>
          <w:b/>
          <w:bCs/>
          <w:i/>
          <w:iCs/>
          <w:sz w:val="28"/>
          <w:szCs w:val="28"/>
        </w:rPr>
        <w:t>Pittman v. Hangout in Gulf Shores, LLC</w:t>
      </w:r>
      <w:r w:rsidRPr="00EB6BC8">
        <w:rPr>
          <w:rFonts w:ascii="Times New Roman" w:hAnsi="Times New Roman" w:cs="Times New Roman"/>
          <w:b/>
          <w:bCs/>
          <w:sz w:val="28"/>
          <w:szCs w:val="28"/>
        </w:rPr>
        <w:t xml:space="preserve">, 293 So. 3d 937 (Ala. Civ. App. 2019) </w:t>
      </w:r>
    </w:p>
    <w:p w14:paraId="1CF39F47" w14:textId="77777777" w:rsidR="0088245B" w:rsidRPr="00EB6BC8" w:rsidRDefault="0088245B" w:rsidP="0088245B">
      <w:pPr>
        <w:spacing w:after="0"/>
        <w:jc w:val="both"/>
        <w:rPr>
          <w:rFonts w:ascii="Times New Roman" w:hAnsi="Times New Roman" w:cs="Times New Roman"/>
          <w:sz w:val="28"/>
          <w:szCs w:val="28"/>
        </w:rPr>
      </w:pPr>
    </w:p>
    <w:p w14:paraId="49322F06"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sz w:val="28"/>
          <w:szCs w:val="28"/>
        </w:rPr>
        <w:lastRenderedPageBreak/>
        <w:tab/>
        <w:t>"The Hangout’s attempt to warn of any danger that might be presented by the step does not support a con</w:t>
      </w:r>
      <w:r w:rsidRPr="00EB6BC8">
        <w:rPr>
          <w:rFonts w:ascii="Times New Roman" w:hAnsi="Times New Roman" w:cs="Times New Roman"/>
          <w:sz w:val="28"/>
          <w:szCs w:val="28"/>
        </w:rPr>
        <w:softHyphen/>
        <w:t xml:space="preserve">clusion that it failed to act in a reckless disregard of the consequences that might befall a patron of its establishment.” </w:t>
      </w:r>
    </w:p>
    <w:p w14:paraId="2542D6EB" w14:textId="77777777" w:rsidR="0088245B" w:rsidRPr="00EB6BC8" w:rsidRDefault="0088245B" w:rsidP="0073545D">
      <w:pPr>
        <w:spacing w:after="0"/>
        <w:jc w:val="both"/>
        <w:rPr>
          <w:rFonts w:ascii="Times New Roman" w:hAnsi="Times New Roman" w:cs="Times New Roman"/>
          <w:sz w:val="28"/>
          <w:szCs w:val="28"/>
        </w:rPr>
      </w:pPr>
    </w:p>
    <w:p w14:paraId="103BB1C4" w14:textId="77777777" w:rsidR="0088245B" w:rsidRPr="00EB6BC8" w:rsidRDefault="0088245B" w:rsidP="0088245B">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Dram Shop/Wrongful Death</w:t>
      </w:r>
      <w:r w:rsidRPr="00EB6BC8">
        <w:rPr>
          <w:rFonts w:ascii="Times New Roman" w:hAnsi="Times New Roman" w:cs="Times New Roman"/>
          <w:b/>
          <w:bCs/>
          <w:i/>
          <w:iCs/>
          <w:sz w:val="28"/>
          <w:szCs w:val="28"/>
        </w:rPr>
        <w:t xml:space="preserve">—Wiggins v. Mobile Greyhound Park, LLP, </w:t>
      </w:r>
      <w:r w:rsidRPr="00EB6BC8">
        <w:rPr>
          <w:rFonts w:ascii="Times New Roman" w:hAnsi="Times New Roman" w:cs="Times New Roman"/>
          <w:b/>
          <w:bCs/>
          <w:sz w:val="28"/>
          <w:szCs w:val="28"/>
        </w:rPr>
        <w:t>294 So. 3d 709 (Ala. 2019)</w:t>
      </w:r>
    </w:p>
    <w:p w14:paraId="5D1F6F1D" w14:textId="77777777" w:rsidR="0088245B" w:rsidRPr="00EB6BC8" w:rsidRDefault="0088245B" w:rsidP="0088245B">
      <w:pPr>
        <w:spacing w:after="0"/>
        <w:jc w:val="both"/>
        <w:rPr>
          <w:rFonts w:ascii="Times New Roman" w:hAnsi="Times New Roman" w:cs="Times New Roman"/>
          <w:sz w:val="28"/>
          <w:szCs w:val="28"/>
        </w:rPr>
      </w:pPr>
    </w:p>
    <w:p w14:paraId="19F68D3F"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sz w:val="28"/>
          <w:szCs w:val="28"/>
        </w:rPr>
        <w:tab/>
        <w:t>A vehicle driven by McMillan struck a vehicle be</w:t>
      </w:r>
      <w:r w:rsidRPr="00EB6BC8">
        <w:rPr>
          <w:rFonts w:ascii="Times New Roman" w:hAnsi="Times New Roman" w:cs="Times New Roman"/>
          <w:sz w:val="28"/>
          <w:szCs w:val="28"/>
        </w:rPr>
        <w:softHyphen/>
        <w:t xml:space="preserve">ing driven by Wiggins. </w:t>
      </w:r>
      <w:r w:rsidR="000157B0">
        <w:rPr>
          <w:rFonts w:ascii="Times New Roman" w:hAnsi="Times New Roman" w:cs="Times New Roman"/>
          <w:sz w:val="28"/>
          <w:szCs w:val="28"/>
        </w:rPr>
        <w:t>Wiggins'</w:t>
      </w:r>
      <w:r w:rsidRPr="00EB6BC8">
        <w:rPr>
          <w:rFonts w:ascii="Times New Roman" w:hAnsi="Times New Roman" w:cs="Times New Roman"/>
          <w:sz w:val="28"/>
          <w:szCs w:val="28"/>
        </w:rPr>
        <w:t xml:space="preserve"> fiancée</w:t>
      </w:r>
      <w:r w:rsidR="000157B0">
        <w:rPr>
          <w:rFonts w:ascii="Times New Roman" w:hAnsi="Times New Roman" w:cs="Times New Roman"/>
          <w:sz w:val="28"/>
          <w:szCs w:val="28"/>
        </w:rPr>
        <w:t xml:space="preserve"> Turner</w:t>
      </w:r>
      <w:r w:rsidRPr="00EB6BC8">
        <w:rPr>
          <w:rFonts w:ascii="Times New Roman" w:hAnsi="Times New Roman" w:cs="Times New Roman"/>
          <w:sz w:val="28"/>
          <w:szCs w:val="28"/>
        </w:rPr>
        <w:t>, and their child were also in the vehicle. Turner died and Wiggins and the child were injured. McMil</w:t>
      </w:r>
      <w:r w:rsidRPr="00EB6BC8">
        <w:rPr>
          <w:rFonts w:ascii="Times New Roman" w:hAnsi="Times New Roman" w:cs="Times New Roman"/>
          <w:sz w:val="28"/>
          <w:szCs w:val="28"/>
        </w:rPr>
        <w:softHyphen/>
        <w:t xml:space="preserve">lan was arrested and later pleaded guilty to reckless murder. </w:t>
      </w:r>
    </w:p>
    <w:p w14:paraId="229557F8" w14:textId="77777777" w:rsidR="0088245B" w:rsidRPr="00EB6BC8" w:rsidRDefault="0088245B" w:rsidP="0088245B">
      <w:pPr>
        <w:spacing w:after="0"/>
        <w:jc w:val="both"/>
        <w:rPr>
          <w:rFonts w:ascii="Times New Roman" w:hAnsi="Times New Roman" w:cs="Times New Roman"/>
          <w:sz w:val="28"/>
          <w:szCs w:val="28"/>
        </w:rPr>
      </w:pPr>
    </w:p>
    <w:p w14:paraId="565C93C4"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sz w:val="28"/>
          <w:szCs w:val="28"/>
        </w:rPr>
        <w:tab/>
        <w:t>Wiggins, in her individu</w:t>
      </w:r>
      <w:r w:rsidRPr="00EB6BC8">
        <w:rPr>
          <w:rFonts w:ascii="Times New Roman" w:hAnsi="Times New Roman" w:cs="Times New Roman"/>
          <w:sz w:val="28"/>
          <w:szCs w:val="28"/>
        </w:rPr>
        <w:softHyphen/>
        <w:t xml:space="preserve">al capacity, and on behalf of the child and Turner’s estate sued McMillan and Mobile Greyhound Park, LLP. The complaint alleged that MGP sold alcohol to McMillan while </w:t>
      </w:r>
      <w:r w:rsidR="00387FA3">
        <w:rPr>
          <w:rFonts w:ascii="Times New Roman" w:hAnsi="Times New Roman" w:cs="Times New Roman"/>
          <w:sz w:val="28"/>
          <w:szCs w:val="28"/>
        </w:rPr>
        <w:t xml:space="preserve">he was </w:t>
      </w:r>
      <w:r w:rsidRPr="00EB6BC8">
        <w:rPr>
          <w:rFonts w:ascii="Times New Roman" w:hAnsi="Times New Roman" w:cs="Times New Roman"/>
          <w:sz w:val="28"/>
          <w:szCs w:val="28"/>
        </w:rPr>
        <w:t xml:space="preserve">visibly intoxicated in violation of the Dram Shop Act. </w:t>
      </w:r>
    </w:p>
    <w:p w14:paraId="389DBBC4" w14:textId="77777777" w:rsidR="0088245B" w:rsidRPr="00EB6BC8" w:rsidRDefault="0088245B" w:rsidP="0088245B">
      <w:pPr>
        <w:spacing w:after="0"/>
        <w:jc w:val="both"/>
        <w:rPr>
          <w:rFonts w:ascii="Times New Roman" w:hAnsi="Times New Roman" w:cs="Times New Roman"/>
          <w:sz w:val="28"/>
          <w:szCs w:val="28"/>
        </w:rPr>
      </w:pPr>
    </w:p>
    <w:p w14:paraId="163927D2"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MGR moved to strike Wiggins’ claim for wrongful death, arguing that such claims are not allowed under the Dram Shop Act. The </w:t>
      </w:r>
      <w:r w:rsidR="00387FA3">
        <w:rPr>
          <w:rFonts w:ascii="Times New Roman" w:hAnsi="Times New Roman" w:cs="Times New Roman"/>
          <w:sz w:val="28"/>
          <w:szCs w:val="28"/>
        </w:rPr>
        <w:t>trial</w:t>
      </w:r>
      <w:r w:rsidRPr="00EB6BC8">
        <w:rPr>
          <w:rFonts w:ascii="Times New Roman" w:hAnsi="Times New Roman" w:cs="Times New Roman"/>
          <w:sz w:val="28"/>
          <w:szCs w:val="28"/>
        </w:rPr>
        <w:t xml:space="preserve"> court granted the defendants’ motions. Wig</w:t>
      </w:r>
      <w:r w:rsidRPr="00EB6BC8">
        <w:rPr>
          <w:rFonts w:ascii="Times New Roman" w:hAnsi="Times New Roman" w:cs="Times New Roman"/>
          <w:sz w:val="28"/>
          <w:szCs w:val="28"/>
        </w:rPr>
        <w:softHyphen/>
        <w:t xml:space="preserve">gins appealed. To the extent Wiggins sought to recover damages stemming from Turner’s death under both the Dram Shop Act and the Wrongful Death Act, the </w:t>
      </w:r>
      <w:r w:rsidR="00387FA3">
        <w:rPr>
          <w:rFonts w:ascii="Times New Roman" w:hAnsi="Times New Roman" w:cs="Times New Roman"/>
          <w:sz w:val="28"/>
          <w:szCs w:val="28"/>
        </w:rPr>
        <w:t>Alabama Supreme Court</w:t>
      </w:r>
      <w:r w:rsidRPr="00EB6BC8">
        <w:rPr>
          <w:rFonts w:ascii="Times New Roman" w:hAnsi="Times New Roman" w:cs="Times New Roman"/>
          <w:sz w:val="28"/>
          <w:szCs w:val="28"/>
        </w:rPr>
        <w:t xml:space="preserve"> affirmed the </w:t>
      </w:r>
      <w:r w:rsidR="00387FA3">
        <w:rPr>
          <w:rFonts w:ascii="Times New Roman" w:hAnsi="Times New Roman" w:cs="Times New Roman"/>
          <w:sz w:val="28"/>
          <w:szCs w:val="28"/>
        </w:rPr>
        <w:t>trial</w:t>
      </w:r>
      <w:r w:rsidRPr="00EB6BC8">
        <w:rPr>
          <w:rFonts w:ascii="Times New Roman" w:hAnsi="Times New Roman" w:cs="Times New Roman"/>
          <w:sz w:val="28"/>
          <w:szCs w:val="28"/>
        </w:rPr>
        <w:t xml:space="preserve"> court’s order granting MGR’s motion to strike Wiggins’s request for damages under the Wrongful Death Act. The Court held Wiggins could recov</w:t>
      </w:r>
      <w:r w:rsidRPr="00EB6BC8">
        <w:rPr>
          <w:rFonts w:ascii="Times New Roman" w:hAnsi="Times New Roman" w:cs="Times New Roman"/>
          <w:sz w:val="28"/>
          <w:szCs w:val="28"/>
        </w:rPr>
        <w:softHyphen/>
        <w:t xml:space="preserve">er only damages based on Turner’s death under the provisions of the Dram Shop Act. </w:t>
      </w:r>
    </w:p>
    <w:p w14:paraId="29B9600F" w14:textId="77777777" w:rsidR="0088245B" w:rsidRPr="00EB6BC8" w:rsidRDefault="0088245B" w:rsidP="0073545D">
      <w:pPr>
        <w:spacing w:after="0"/>
        <w:jc w:val="both"/>
        <w:rPr>
          <w:rFonts w:ascii="Times New Roman" w:hAnsi="Times New Roman" w:cs="Times New Roman"/>
          <w:sz w:val="28"/>
          <w:szCs w:val="28"/>
        </w:rPr>
      </w:pPr>
    </w:p>
    <w:p w14:paraId="47A6DED7" w14:textId="77777777" w:rsidR="00DC2187" w:rsidRPr="00EB6BC8" w:rsidRDefault="00DC2187" w:rsidP="00DC2187">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Material Term of Contract</w:t>
      </w:r>
      <w:r w:rsidRPr="00EB6BC8">
        <w:rPr>
          <w:rFonts w:ascii="Times New Roman" w:hAnsi="Times New Roman" w:cs="Times New Roman"/>
          <w:b/>
          <w:bCs/>
          <w:i/>
          <w:iCs/>
          <w:sz w:val="28"/>
          <w:szCs w:val="28"/>
        </w:rPr>
        <w:t>—LNM1, LLC v. TP Props., LLC</w:t>
      </w:r>
      <w:r w:rsidRPr="00EB6BC8">
        <w:rPr>
          <w:rFonts w:ascii="Times New Roman" w:hAnsi="Times New Roman" w:cs="Times New Roman"/>
          <w:b/>
          <w:bCs/>
          <w:sz w:val="28"/>
          <w:szCs w:val="28"/>
        </w:rPr>
        <w:t>, 296 So. 3d 792 (Ala. 2019).</w:t>
      </w:r>
    </w:p>
    <w:p w14:paraId="67BFAB34" w14:textId="77777777" w:rsidR="00DC2187" w:rsidRPr="00EB6BC8" w:rsidRDefault="00DC2187" w:rsidP="00DC2187">
      <w:pPr>
        <w:spacing w:after="0"/>
        <w:jc w:val="both"/>
        <w:rPr>
          <w:rFonts w:ascii="Times New Roman" w:hAnsi="Times New Roman" w:cs="Times New Roman"/>
          <w:sz w:val="28"/>
          <w:szCs w:val="28"/>
        </w:rPr>
      </w:pPr>
    </w:p>
    <w:p w14:paraId="3F17E692"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parties agreed the lease agreement gave TP Properties the right to terminate the lease if LNM1 failed to “substantially comply with any ma</w:t>
      </w:r>
      <w:r w:rsidRPr="00EB6BC8">
        <w:rPr>
          <w:rFonts w:ascii="Times New Roman" w:hAnsi="Times New Roman" w:cs="Times New Roman"/>
          <w:sz w:val="28"/>
          <w:szCs w:val="28"/>
        </w:rPr>
        <w:softHyphen/>
        <w:t>terial provision of this lease.”  LNM1 failed to obtain insurance pursuant to the lease terms. The Court concluded LNM1’s failure was a breach “that touched the fundamen</w:t>
      </w:r>
      <w:r w:rsidRPr="00EB6BC8">
        <w:rPr>
          <w:rFonts w:ascii="Times New Roman" w:hAnsi="Times New Roman" w:cs="Times New Roman"/>
          <w:sz w:val="28"/>
          <w:szCs w:val="28"/>
        </w:rPr>
        <w:softHyphen/>
        <w:t xml:space="preserve">tal purposes of the contract and defeated the object of the parties in making the contract.” </w:t>
      </w:r>
      <w:r w:rsidR="00387FA3">
        <w:rPr>
          <w:rFonts w:ascii="Times New Roman" w:hAnsi="Times New Roman" w:cs="Times New Roman"/>
          <w:sz w:val="28"/>
          <w:szCs w:val="28"/>
        </w:rPr>
        <w:t xml:space="preserve">Therefore, the breach was </w:t>
      </w:r>
      <w:r w:rsidRPr="00EB6BC8">
        <w:rPr>
          <w:rFonts w:ascii="Times New Roman" w:hAnsi="Times New Roman" w:cs="Times New Roman"/>
          <w:sz w:val="28"/>
          <w:szCs w:val="28"/>
        </w:rPr>
        <w:t>material.</w:t>
      </w:r>
    </w:p>
    <w:p w14:paraId="12F55279" w14:textId="77777777" w:rsidR="00DC2187" w:rsidRPr="00EB6BC8" w:rsidRDefault="00DC2187" w:rsidP="0073545D">
      <w:pPr>
        <w:spacing w:after="0"/>
        <w:jc w:val="both"/>
        <w:rPr>
          <w:rFonts w:ascii="Times New Roman" w:hAnsi="Times New Roman" w:cs="Times New Roman"/>
          <w:sz w:val="28"/>
          <w:szCs w:val="28"/>
        </w:rPr>
      </w:pPr>
    </w:p>
    <w:p w14:paraId="6869A0DB" w14:textId="77777777" w:rsidR="008F3702" w:rsidRPr="00EB6BC8" w:rsidRDefault="0058777F" w:rsidP="00BE6102">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lastRenderedPageBreak/>
        <w:t>Summary Judgment</w:t>
      </w:r>
      <w:r w:rsidRPr="00EB6BC8">
        <w:rPr>
          <w:rFonts w:ascii="Times New Roman" w:hAnsi="Times New Roman" w:cs="Times New Roman"/>
          <w:b/>
          <w:bCs/>
          <w:i/>
          <w:iCs/>
          <w:sz w:val="28"/>
          <w:szCs w:val="28"/>
        </w:rPr>
        <w:t>—</w:t>
      </w:r>
      <w:proofErr w:type="spellStart"/>
      <w:r w:rsidRPr="00EB6BC8">
        <w:rPr>
          <w:rFonts w:ascii="Times New Roman" w:hAnsi="Times New Roman" w:cs="Times New Roman"/>
          <w:b/>
          <w:bCs/>
          <w:i/>
          <w:iCs/>
          <w:sz w:val="28"/>
          <w:szCs w:val="28"/>
        </w:rPr>
        <w:t>F</w:t>
      </w:r>
      <w:r w:rsidR="008F3702" w:rsidRPr="00EB6BC8">
        <w:rPr>
          <w:rFonts w:ascii="Times New Roman" w:hAnsi="Times New Roman" w:cs="Times New Roman"/>
          <w:b/>
          <w:bCs/>
          <w:i/>
          <w:iCs/>
          <w:sz w:val="28"/>
          <w:szCs w:val="28"/>
        </w:rPr>
        <w:t>azzingo</w:t>
      </w:r>
      <w:proofErr w:type="spellEnd"/>
      <w:r w:rsidR="008F3702" w:rsidRPr="00EB6BC8">
        <w:rPr>
          <w:rFonts w:ascii="Times New Roman" w:hAnsi="Times New Roman" w:cs="Times New Roman"/>
          <w:b/>
          <w:bCs/>
          <w:i/>
          <w:iCs/>
          <w:sz w:val="28"/>
          <w:szCs w:val="28"/>
        </w:rPr>
        <w:t xml:space="preserve"> v. Orange</w:t>
      </w:r>
      <w:r w:rsidR="00280CA7" w:rsidRPr="00EB6BC8">
        <w:rPr>
          <w:rFonts w:ascii="Times New Roman" w:hAnsi="Times New Roman" w:cs="Times New Roman"/>
          <w:b/>
          <w:bCs/>
          <w:sz w:val="28"/>
          <w:szCs w:val="28"/>
        </w:rPr>
        <w:t>, 280 So. 3d 1057 (Ala. Civ. App. 2019)</w:t>
      </w:r>
      <w:r w:rsidR="00CE74D1" w:rsidRPr="00EB6BC8">
        <w:rPr>
          <w:rFonts w:ascii="Times New Roman" w:hAnsi="Times New Roman" w:cs="Times New Roman"/>
          <w:b/>
          <w:bCs/>
          <w:i/>
          <w:iCs/>
          <w:sz w:val="28"/>
          <w:szCs w:val="28"/>
        </w:rPr>
        <w:t xml:space="preserve"> </w:t>
      </w:r>
    </w:p>
    <w:p w14:paraId="374CD48A" w14:textId="77777777" w:rsidR="0073545D" w:rsidRPr="00EB6BC8" w:rsidRDefault="0073545D" w:rsidP="00BE6102">
      <w:pPr>
        <w:spacing w:after="0"/>
        <w:jc w:val="both"/>
        <w:rPr>
          <w:rFonts w:ascii="Times New Roman" w:hAnsi="Times New Roman" w:cs="Times New Roman"/>
          <w:sz w:val="28"/>
          <w:szCs w:val="28"/>
        </w:rPr>
      </w:pPr>
    </w:p>
    <w:p w14:paraId="198289F4" w14:textId="77777777" w:rsidR="002A1954" w:rsidRPr="00EB6BC8" w:rsidRDefault="0073545D" w:rsidP="00BE6102">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CE74D1" w:rsidRPr="00EB6BC8">
        <w:rPr>
          <w:rFonts w:ascii="Times New Roman" w:hAnsi="Times New Roman" w:cs="Times New Roman"/>
          <w:sz w:val="28"/>
          <w:szCs w:val="28"/>
        </w:rPr>
        <w:t xml:space="preserve">Although the Plaintiff's </w:t>
      </w:r>
      <w:r w:rsidR="002A1954" w:rsidRPr="00EB6BC8">
        <w:rPr>
          <w:rFonts w:ascii="Times New Roman" w:hAnsi="Times New Roman" w:cs="Times New Roman"/>
          <w:sz w:val="28"/>
          <w:szCs w:val="28"/>
        </w:rPr>
        <w:t>testimony contained in</w:t>
      </w:r>
      <w:r w:rsidR="002A1954" w:rsidRPr="00EB6BC8">
        <w:rPr>
          <w:rFonts w:ascii="Times New Roman" w:hAnsi="Times New Roman" w:cs="Times New Roman"/>
          <w:sz w:val="28"/>
          <w:szCs w:val="28"/>
        </w:rPr>
        <w:softHyphen/>
        <w:t>consistencies</w:t>
      </w:r>
      <w:r w:rsidR="00CE74D1" w:rsidRPr="00EB6BC8">
        <w:rPr>
          <w:rFonts w:ascii="Times New Roman" w:hAnsi="Times New Roman" w:cs="Times New Roman"/>
          <w:sz w:val="28"/>
          <w:szCs w:val="28"/>
        </w:rPr>
        <w:t xml:space="preserve">, that is not </w:t>
      </w:r>
      <w:r w:rsidR="002A1954" w:rsidRPr="00EB6BC8">
        <w:rPr>
          <w:rFonts w:ascii="Times New Roman" w:hAnsi="Times New Roman" w:cs="Times New Roman"/>
          <w:sz w:val="28"/>
          <w:szCs w:val="28"/>
        </w:rPr>
        <w:t>a basis for enter</w:t>
      </w:r>
      <w:r w:rsidR="002A1954" w:rsidRPr="00EB6BC8">
        <w:rPr>
          <w:rFonts w:ascii="Times New Roman" w:hAnsi="Times New Roman" w:cs="Times New Roman"/>
          <w:sz w:val="28"/>
          <w:szCs w:val="28"/>
        </w:rPr>
        <w:softHyphen/>
        <w:t>ing a judgment as a matter of law. “[A]</w:t>
      </w:r>
      <w:proofErr w:type="spellStart"/>
      <w:r w:rsidR="002A1954" w:rsidRPr="00EB6BC8">
        <w:rPr>
          <w:rFonts w:ascii="Times New Roman" w:hAnsi="Times New Roman" w:cs="Times New Roman"/>
          <w:sz w:val="28"/>
          <w:szCs w:val="28"/>
        </w:rPr>
        <w:t>ny</w:t>
      </w:r>
      <w:proofErr w:type="spellEnd"/>
      <w:r w:rsidR="002A1954" w:rsidRPr="00EB6BC8">
        <w:rPr>
          <w:rFonts w:ascii="Times New Roman" w:hAnsi="Times New Roman" w:cs="Times New Roman"/>
          <w:sz w:val="28"/>
          <w:szCs w:val="28"/>
        </w:rPr>
        <w:t xml:space="preserve"> conflicting or contradicting testimony, even her own, is to be resolved by the jury and not by the trial court.” “</w:t>
      </w:r>
      <w:r w:rsidR="00E863B3" w:rsidRPr="00EB6BC8">
        <w:rPr>
          <w:rFonts w:ascii="Times New Roman" w:hAnsi="Times New Roman" w:cs="Times New Roman"/>
          <w:sz w:val="28"/>
          <w:szCs w:val="28"/>
        </w:rPr>
        <w:t>A</w:t>
      </w:r>
      <w:r w:rsidR="002A1954" w:rsidRPr="00EB6BC8">
        <w:rPr>
          <w:rFonts w:ascii="Times New Roman" w:hAnsi="Times New Roman" w:cs="Times New Roman"/>
          <w:sz w:val="28"/>
          <w:szCs w:val="28"/>
        </w:rPr>
        <w:t xml:space="preserve">ny challenge to the facts upon which an expert basis his opinion goes to the weight, rather than the admissibility, of the evidence.” The weight to be assigned to </w:t>
      </w:r>
      <w:r w:rsidR="00CE74D1" w:rsidRPr="00EB6BC8">
        <w:rPr>
          <w:rFonts w:ascii="Times New Roman" w:hAnsi="Times New Roman" w:cs="Times New Roman"/>
          <w:sz w:val="28"/>
          <w:szCs w:val="28"/>
        </w:rPr>
        <w:t>the expert's</w:t>
      </w:r>
      <w:r w:rsidR="002A1954" w:rsidRPr="00EB6BC8">
        <w:rPr>
          <w:rFonts w:ascii="Times New Roman" w:hAnsi="Times New Roman" w:cs="Times New Roman"/>
          <w:sz w:val="28"/>
          <w:szCs w:val="28"/>
        </w:rPr>
        <w:t xml:space="preserve"> testimony was a question for the jury, not the trial court. </w:t>
      </w:r>
    </w:p>
    <w:p w14:paraId="3FF3049F" w14:textId="77777777" w:rsidR="002A1954" w:rsidRPr="00EB6BC8" w:rsidRDefault="002A1954" w:rsidP="00BE6102">
      <w:pPr>
        <w:spacing w:after="0"/>
        <w:rPr>
          <w:rFonts w:ascii="Times New Roman" w:hAnsi="Times New Roman" w:cs="Times New Roman"/>
          <w:sz w:val="28"/>
          <w:szCs w:val="28"/>
        </w:rPr>
      </w:pPr>
    </w:p>
    <w:p w14:paraId="69051D54" w14:textId="77777777" w:rsidR="0088245B" w:rsidRPr="00EB6BC8" w:rsidRDefault="0088245B" w:rsidP="0088245B">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Mediation</w:t>
      </w:r>
      <w:r w:rsidRPr="00EB6BC8">
        <w:rPr>
          <w:rFonts w:ascii="Times New Roman" w:hAnsi="Times New Roman" w:cs="Times New Roman"/>
          <w:b/>
          <w:bCs/>
          <w:i/>
          <w:iCs/>
          <w:sz w:val="28"/>
          <w:szCs w:val="28"/>
        </w:rPr>
        <w:t>—Ex parte Culverhouse</w:t>
      </w:r>
      <w:r w:rsidRPr="00EB6BC8">
        <w:rPr>
          <w:rFonts w:ascii="Times New Roman" w:hAnsi="Times New Roman" w:cs="Times New Roman"/>
          <w:b/>
          <w:bCs/>
          <w:sz w:val="28"/>
          <w:szCs w:val="28"/>
        </w:rPr>
        <w:t xml:space="preserve">, 295 So. 3d 114 (Ala. Civ. App. 2019) </w:t>
      </w:r>
    </w:p>
    <w:p w14:paraId="044309FE" w14:textId="77777777" w:rsidR="0088245B" w:rsidRPr="00EB6BC8" w:rsidRDefault="0088245B" w:rsidP="0088245B">
      <w:pPr>
        <w:spacing w:after="0"/>
        <w:jc w:val="both"/>
        <w:rPr>
          <w:rFonts w:ascii="Times New Roman" w:hAnsi="Times New Roman" w:cs="Times New Roman"/>
          <w:bCs/>
          <w:iCs/>
          <w:sz w:val="28"/>
          <w:szCs w:val="28"/>
        </w:rPr>
      </w:pPr>
    </w:p>
    <w:p w14:paraId="1AE30D06" w14:textId="77777777" w:rsidR="0088245B" w:rsidRPr="00EB6BC8" w:rsidRDefault="0088245B" w:rsidP="0088245B">
      <w:pPr>
        <w:spacing w:after="0"/>
        <w:jc w:val="both"/>
        <w:rPr>
          <w:rFonts w:ascii="Times New Roman" w:hAnsi="Times New Roman" w:cs="Times New Roman"/>
          <w:sz w:val="28"/>
          <w:szCs w:val="28"/>
        </w:rPr>
      </w:pPr>
      <w:r w:rsidRPr="00EB6BC8">
        <w:rPr>
          <w:rFonts w:ascii="Times New Roman" w:hAnsi="Times New Roman" w:cs="Times New Roman"/>
          <w:bCs/>
          <w:iCs/>
          <w:sz w:val="28"/>
          <w:szCs w:val="28"/>
        </w:rPr>
        <w:tab/>
        <w:t xml:space="preserve">When a party unilaterally requests mediation </w:t>
      </w:r>
      <w:r w:rsidRPr="00EB6BC8">
        <w:rPr>
          <w:rFonts w:ascii="Times New Roman" w:hAnsi="Times New Roman" w:cs="Times New Roman"/>
          <w:sz w:val="28"/>
          <w:szCs w:val="28"/>
        </w:rPr>
        <w:t>the trial court must require that party to bear the costs of said mediation.</w:t>
      </w:r>
    </w:p>
    <w:p w14:paraId="1377580E" w14:textId="77777777" w:rsidR="0088245B" w:rsidRPr="00EB6BC8" w:rsidRDefault="0088245B" w:rsidP="000F5943">
      <w:pPr>
        <w:spacing w:after="0"/>
        <w:jc w:val="both"/>
        <w:rPr>
          <w:rFonts w:ascii="Times New Roman" w:hAnsi="Times New Roman" w:cs="Times New Roman"/>
          <w:sz w:val="28"/>
          <w:szCs w:val="28"/>
        </w:rPr>
      </w:pPr>
    </w:p>
    <w:p w14:paraId="6479BF64" w14:textId="77777777" w:rsidR="00DB6E9F" w:rsidRPr="00EB6BC8" w:rsidRDefault="0072112F" w:rsidP="00CF365D">
      <w:pPr>
        <w:spacing w:after="0"/>
        <w:jc w:val="both"/>
        <w:rPr>
          <w:rFonts w:ascii="Times New Roman" w:hAnsi="Times New Roman" w:cs="Times New Roman"/>
          <w:b/>
          <w:bCs/>
          <w:sz w:val="28"/>
          <w:szCs w:val="28"/>
        </w:rPr>
      </w:pPr>
      <w:r w:rsidRPr="00EB6BC8">
        <w:rPr>
          <w:rFonts w:ascii="Times New Roman" w:hAnsi="Times New Roman" w:cs="Times New Roman"/>
          <w:b/>
          <w:bCs/>
          <w:sz w:val="28"/>
          <w:szCs w:val="28"/>
        </w:rPr>
        <w:t>Guardians ad Litem—</w:t>
      </w:r>
      <w:r w:rsidRPr="00EB6BC8">
        <w:rPr>
          <w:rFonts w:ascii="Times New Roman" w:hAnsi="Times New Roman" w:cs="Times New Roman"/>
          <w:b/>
          <w:bCs/>
          <w:i/>
          <w:sz w:val="28"/>
          <w:szCs w:val="28"/>
        </w:rPr>
        <w:t>E</w:t>
      </w:r>
      <w:r w:rsidR="003F23E5" w:rsidRPr="00EB6BC8">
        <w:rPr>
          <w:rFonts w:ascii="Times New Roman" w:hAnsi="Times New Roman" w:cs="Times New Roman"/>
          <w:b/>
          <w:bCs/>
          <w:i/>
          <w:iCs/>
          <w:sz w:val="28"/>
          <w:szCs w:val="28"/>
        </w:rPr>
        <w:t xml:space="preserve">x </w:t>
      </w:r>
      <w:proofErr w:type="spellStart"/>
      <w:r w:rsidR="003F23E5" w:rsidRPr="00EB6BC8">
        <w:rPr>
          <w:rFonts w:ascii="Times New Roman" w:hAnsi="Times New Roman" w:cs="Times New Roman"/>
          <w:b/>
          <w:bCs/>
          <w:i/>
          <w:iCs/>
          <w:sz w:val="28"/>
          <w:szCs w:val="28"/>
        </w:rPr>
        <w:t>parte</w:t>
      </w:r>
      <w:proofErr w:type="spellEnd"/>
      <w:r w:rsidR="003F23E5" w:rsidRPr="00EB6BC8">
        <w:rPr>
          <w:rFonts w:ascii="Times New Roman" w:hAnsi="Times New Roman" w:cs="Times New Roman"/>
          <w:b/>
          <w:bCs/>
          <w:i/>
          <w:iCs/>
          <w:sz w:val="28"/>
          <w:szCs w:val="28"/>
        </w:rPr>
        <w:t xml:space="preserve"> </w:t>
      </w:r>
      <w:proofErr w:type="spellStart"/>
      <w:r w:rsidR="003F23E5" w:rsidRPr="00EB6BC8">
        <w:rPr>
          <w:rFonts w:ascii="Times New Roman" w:hAnsi="Times New Roman" w:cs="Times New Roman"/>
          <w:b/>
          <w:bCs/>
          <w:i/>
          <w:iCs/>
          <w:sz w:val="28"/>
          <w:szCs w:val="28"/>
        </w:rPr>
        <w:t>CityR</w:t>
      </w:r>
      <w:proofErr w:type="spellEnd"/>
      <w:r w:rsidR="003F23E5" w:rsidRPr="00EB6BC8">
        <w:rPr>
          <w:rFonts w:ascii="Times New Roman" w:hAnsi="Times New Roman" w:cs="Times New Roman"/>
          <w:b/>
          <w:bCs/>
          <w:i/>
          <w:iCs/>
          <w:sz w:val="28"/>
          <w:szCs w:val="28"/>
        </w:rPr>
        <w:t xml:space="preserve"> Eagle Landing, LLC</w:t>
      </w:r>
      <w:r w:rsidR="005F746A" w:rsidRPr="00EB6BC8">
        <w:rPr>
          <w:rFonts w:ascii="Times New Roman" w:hAnsi="Times New Roman" w:cs="Times New Roman"/>
          <w:b/>
          <w:bCs/>
          <w:sz w:val="28"/>
          <w:szCs w:val="28"/>
        </w:rPr>
        <w:t>, 296 So. 3d 288 (Ala. 2019)</w:t>
      </w:r>
      <w:r w:rsidR="009304C3" w:rsidRPr="00EB6BC8">
        <w:rPr>
          <w:rFonts w:ascii="Times New Roman" w:hAnsi="Times New Roman" w:cs="Times New Roman"/>
          <w:b/>
          <w:bCs/>
          <w:sz w:val="28"/>
          <w:szCs w:val="28"/>
        </w:rPr>
        <w:t xml:space="preserve"> </w:t>
      </w:r>
    </w:p>
    <w:p w14:paraId="2DB042E9" w14:textId="77777777" w:rsidR="009304C3" w:rsidRPr="00EB6BC8" w:rsidRDefault="009304C3" w:rsidP="00CF365D">
      <w:pPr>
        <w:spacing w:after="0"/>
        <w:jc w:val="both"/>
        <w:rPr>
          <w:rFonts w:ascii="Times New Roman" w:hAnsi="Times New Roman" w:cs="Times New Roman"/>
          <w:b/>
          <w:bCs/>
          <w:sz w:val="28"/>
          <w:szCs w:val="28"/>
        </w:rPr>
      </w:pPr>
    </w:p>
    <w:p w14:paraId="5E03A77B" w14:textId="77777777" w:rsidR="00AE5378" w:rsidRPr="00EB6BC8" w:rsidRDefault="009304C3" w:rsidP="00DB6E9F">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A0529A" w:rsidRPr="00EB6BC8">
        <w:rPr>
          <w:rFonts w:ascii="Times New Roman" w:hAnsi="Times New Roman" w:cs="Times New Roman"/>
          <w:sz w:val="28"/>
          <w:szCs w:val="28"/>
        </w:rPr>
        <w:t>In April 2016, residents of Eagle Landing Apartments</w:t>
      </w:r>
      <w:r w:rsidR="00DB6E9F" w:rsidRPr="00EB6BC8">
        <w:rPr>
          <w:rFonts w:ascii="Times New Roman" w:hAnsi="Times New Roman" w:cs="Times New Roman"/>
          <w:sz w:val="28"/>
          <w:szCs w:val="28"/>
        </w:rPr>
        <w:t xml:space="preserve"> </w:t>
      </w:r>
      <w:r w:rsidR="00A41D08">
        <w:rPr>
          <w:rFonts w:ascii="Times New Roman" w:hAnsi="Times New Roman" w:cs="Times New Roman"/>
          <w:sz w:val="28"/>
          <w:szCs w:val="28"/>
        </w:rPr>
        <w:t xml:space="preserve">sued </w:t>
      </w:r>
      <w:r w:rsidR="00DB6E9F" w:rsidRPr="00EB6BC8">
        <w:rPr>
          <w:rFonts w:ascii="Times New Roman" w:hAnsi="Times New Roman" w:cs="Times New Roman"/>
          <w:sz w:val="28"/>
          <w:szCs w:val="28"/>
        </w:rPr>
        <w:t xml:space="preserve">the owner of the apartment complex </w:t>
      </w:r>
      <w:r w:rsidR="00A0529A" w:rsidRPr="00EB6BC8">
        <w:rPr>
          <w:rFonts w:ascii="Times New Roman" w:hAnsi="Times New Roman" w:cs="Times New Roman"/>
          <w:sz w:val="28"/>
          <w:szCs w:val="28"/>
        </w:rPr>
        <w:t>arising out of conditions at the apart</w:t>
      </w:r>
      <w:r w:rsidR="00A0529A" w:rsidRPr="00EB6BC8">
        <w:rPr>
          <w:rFonts w:ascii="Times New Roman" w:hAnsi="Times New Roman" w:cs="Times New Roman"/>
          <w:sz w:val="28"/>
          <w:szCs w:val="28"/>
        </w:rPr>
        <w:softHyphen/>
        <w:t>ment complex. The residents</w:t>
      </w:r>
      <w:r w:rsidR="00DB6E9F" w:rsidRPr="00EB6BC8">
        <w:rPr>
          <w:rFonts w:ascii="Times New Roman" w:hAnsi="Times New Roman" w:cs="Times New Roman"/>
          <w:sz w:val="28"/>
          <w:szCs w:val="28"/>
        </w:rPr>
        <w:t xml:space="preserve"> included adults and minors </w:t>
      </w:r>
      <w:r w:rsidR="00A0529A" w:rsidRPr="00EB6BC8">
        <w:rPr>
          <w:rFonts w:ascii="Times New Roman" w:hAnsi="Times New Roman" w:cs="Times New Roman"/>
          <w:sz w:val="28"/>
          <w:szCs w:val="28"/>
        </w:rPr>
        <w:t>who were represented in the action by their parents. All the residents wer</w:t>
      </w:r>
      <w:r w:rsidR="00AE5378" w:rsidRPr="00EB6BC8">
        <w:rPr>
          <w:rFonts w:ascii="Times New Roman" w:hAnsi="Times New Roman" w:cs="Times New Roman"/>
          <w:sz w:val="28"/>
          <w:szCs w:val="28"/>
        </w:rPr>
        <w:t xml:space="preserve">e represented by legal counsel. </w:t>
      </w:r>
      <w:r w:rsidR="00DB6E9F" w:rsidRPr="00EB6BC8">
        <w:rPr>
          <w:rFonts w:ascii="Times New Roman" w:hAnsi="Times New Roman" w:cs="Times New Roman"/>
          <w:sz w:val="28"/>
          <w:szCs w:val="28"/>
        </w:rPr>
        <w:t>A settlement of the claims</w:t>
      </w:r>
      <w:r w:rsidR="00AE5378" w:rsidRPr="00EB6BC8">
        <w:rPr>
          <w:rFonts w:ascii="Times New Roman" w:hAnsi="Times New Roman" w:cs="Times New Roman"/>
          <w:sz w:val="28"/>
          <w:szCs w:val="28"/>
        </w:rPr>
        <w:t xml:space="preserve"> of some of the minors</w:t>
      </w:r>
      <w:r w:rsidR="00DB6E9F" w:rsidRPr="00EB6BC8">
        <w:rPr>
          <w:rFonts w:ascii="Times New Roman" w:hAnsi="Times New Roman" w:cs="Times New Roman"/>
          <w:sz w:val="28"/>
          <w:szCs w:val="28"/>
        </w:rPr>
        <w:t xml:space="preserve"> was reached and t</w:t>
      </w:r>
      <w:r w:rsidR="0066487D" w:rsidRPr="00EB6BC8">
        <w:rPr>
          <w:rFonts w:ascii="Times New Roman" w:hAnsi="Times New Roman" w:cs="Times New Roman"/>
          <w:sz w:val="28"/>
          <w:szCs w:val="28"/>
        </w:rPr>
        <w:t xml:space="preserve">he trial court appointed </w:t>
      </w:r>
      <w:proofErr w:type="gramStart"/>
      <w:r w:rsidR="0066487D" w:rsidRPr="00EB6BC8">
        <w:rPr>
          <w:rFonts w:ascii="Times New Roman" w:hAnsi="Times New Roman" w:cs="Times New Roman"/>
          <w:sz w:val="28"/>
          <w:szCs w:val="28"/>
        </w:rPr>
        <w:t>a guardian ad litem</w:t>
      </w:r>
      <w:proofErr w:type="gramEnd"/>
      <w:r w:rsidR="0066487D" w:rsidRPr="00EB6BC8">
        <w:rPr>
          <w:rFonts w:ascii="Times New Roman" w:hAnsi="Times New Roman" w:cs="Times New Roman"/>
          <w:sz w:val="28"/>
          <w:szCs w:val="28"/>
        </w:rPr>
        <w:t xml:space="preserve"> to aid it in determining if the settlement was fair to the minors. </w:t>
      </w:r>
      <w:r w:rsidR="00AE5378" w:rsidRPr="00EB6BC8">
        <w:rPr>
          <w:rFonts w:ascii="Times New Roman" w:hAnsi="Times New Roman" w:cs="Times New Roman"/>
          <w:sz w:val="28"/>
          <w:szCs w:val="28"/>
        </w:rPr>
        <w:t>T</w:t>
      </w:r>
      <w:r w:rsidR="0066487D" w:rsidRPr="00EB6BC8">
        <w:rPr>
          <w:rFonts w:ascii="Times New Roman" w:hAnsi="Times New Roman" w:cs="Times New Roman"/>
          <w:sz w:val="28"/>
          <w:szCs w:val="28"/>
        </w:rPr>
        <w:t xml:space="preserve">he GAL </w:t>
      </w:r>
      <w:r w:rsidR="0072112F" w:rsidRPr="00EB6BC8">
        <w:rPr>
          <w:rFonts w:ascii="Times New Roman" w:hAnsi="Times New Roman" w:cs="Times New Roman"/>
          <w:sz w:val="28"/>
          <w:szCs w:val="28"/>
        </w:rPr>
        <w:t xml:space="preserve">later </w:t>
      </w:r>
      <w:r w:rsidR="0066487D" w:rsidRPr="00EB6BC8">
        <w:rPr>
          <w:rFonts w:ascii="Times New Roman" w:hAnsi="Times New Roman" w:cs="Times New Roman"/>
          <w:sz w:val="28"/>
          <w:szCs w:val="28"/>
        </w:rPr>
        <w:t xml:space="preserve">filed a motion seeking to be appointed as GAL for all the minor residents, not just the ones who had </w:t>
      </w:r>
      <w:proofErr w:type="gramStart"/>
      <w:r w:rsidR="0066487D" w:rsidRPr="00EB6BC8">
        <w:rPr>
          <w:rFonts w:ascii="Times New Roman" w:hAnsi="Times New Roman" w:cs="Times New Roman"/>
          <w:sz w:val="28"/>
          <w:szCs w:val="28"/>
        </w:rPr>
        <w:t>entered into</w:t>
      </w:r>
      <w:proofErr w:type="gramEnd"/>
      <w:r w:rsidR="0066487D" w:rsidRPr="00EB6BC8">
        <w:rPr>
          <w:rFonts w:ascii="Times New Roman" w:hAnsi="Times New Roman" w:cs="Times New Roman"/>
          <w:sz w:val="28"/>
          <w:szCs w:val="28"/>
        </w:rPr>
        <w:t xml:space="preserve"> a </w:t>
      </w:r>
      <w:r w:rsidR="0066487D" w:rsidRPr="00EB6BC8">
        <w:rPr>
          <w:rFonts w:ascii="Times New Roman" w:hAnsi="Times New Roman" w:cs="Times New Roman"/>
          <w:i/>
          <w:iCs/>
          <w:sz w:val="28"/>
          <w:szCs w:val="28"/>
        </w:rPr>
        <w:t xml:space="preserve">pro </w:t>
      </w:r>
      <w:proofErr w:type="spellStart"/>
      <w:r w:rsidR="0066487D" w:rsidRPr="00EB6BC8">
        <w:rPr>
          <w:rFonts w:ascii="Times New Roman" w:hAnsi="Times New Roman" w:cs="Times New Roman"/>
          <w:i/>
          <w:iCs/>
          <w:sz w:val="28"/>
          <w:szCs w:val="28"/>
        </w:rPr>
        <w:t>ami</w:t>
      </w:r>
      <w:proofErr w:type="spellEnd"/>
      <w:r w:rsidR="0066487D" w:rsidRPr="00EB6BC8">
        <w:rPr>
          <w:rFonts w:ascii="Times New Roman" w:hAnsi="Times New Roman" w:cs="Times New Roman"/>
          <w:i/>
          <w:iCs/>
          <w:sz w:val="28"/>
          <w:szCs w:val="28"/>
        </w:rPr>
        <w:t xml:space="preserve"> </w:t>
      </w:r>
      <w:r w:rsidR="0066487D" w:rsidRPr="00EB6BC8">
        <w:rPr>
          <w:rFonts w:ascii="Times New Roman" w:hAnsi="Times New Roman" w:cs="Times New Roman"/>
          <w:sz w:val="28"/>
          <w:szCs w:val="28"/>
        </w:rPr>
        <w:t>set</w:t>
      </w:r>
      <w:r w:rsidR="0066487D" w:rsidRPr="00EB6BC8">
        <w:rPr>
          <w:rFonts w:ascii="Times New Roman" w:hAnsi="Times New Roman" w:cs="Times New Roman"/>
          <w:sz w:val="28"/>
          <w:szCs w:val="28"/>
        </w:rPr>
        <w:softHyphen/>
        <w:t xml:space="preserve">tlement with the defendants. </w:t>
      </w:r>
      <w:r w:rsidR="00AE5378" w:rsidRPr="00EB6BC8">
        <w:rPr>
          <w:rFonts w:ascii="Times New Roman" w:hAnsi="Times New Roman" w:cs="Times New Roman"/>
          <w:sz w:val="28"/>
          <w:szCs w:val="28"/>
        </w:rPr>
        <w:t xml:space="preserve"> T</w:t>
      </w:r>
      <w:r w:rsidR="0066487D" w:rsidRPr="00EB6BC8">
        <w:rPr>
          <w:rFonts w:ascii="Times New Roman" w:hAnsi="Times New Roman" w:cs="Times New Roman"/>
          <w:sz w:val="28"/>
          <w:szCs w:val="28"/>
        </w:rPr>
        <w:t>he trial court entered an order appointing the GAL to represent all the minor residents. The defendants petitioned for a writ of mandamus.</w:t>
      </w:r>
    </w:p>
    <w:p w14:paraId="4D3CF46C" w14:textId="77777777" w:rsidR="00AE5378" w:rsidRPr="00EB6BC8" w:rsidRDefault="00AE5378" w:rsidP="00DB6E9F">
      <w:pPr>
        <w:spacing w:after="0"/>
        <w:jc w:val="both"/>
        <w:rPr>
          <w:rFonts w:ascii="Times New Roman" w:hAnsi="Times New Roman" w:cs="Times New Roman"/>
          <w:sz w:val="28"/>
          <w:szCs w:val="28"/>
        </w:rPr>
      </w:pPr>
    </w:p>
    <w:p w14:paraId="3679ABCD" w14:textId="77777777" w:rsidR="00A0529A" w:rsidRPr="00EB6BC8" w:rsidRDefault="009304C3" w:rsidP="00DB6E9F">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r w:rsidR="00AE5378" w:rsidRPr="00EB6BC8">
        <w:rPr>
          <w:rFonts w:ascii="Times New Roman" w:hAnsi="Times New Roman" w:cs="Times New Roman"/>
          <w:sz w:val="28"/>
          <w:szCs w:val="28"/>
        </w:rPr>
        <w:t xml:space="preserve">The Court noted that </w:t>
      </w:r>
      <w:r w:rsidR="0066487D" w:rsidRPr="00EB6BC8">
        <w:rPr>
          <w:rFonts w:ascii="Times New Roman" w:hAnsi="Times New Roman" w:cs="Times New Roman"/>
          <w:sz w:val="28"/>
          <w:szCs w:val="28"/>
        </w:rPr>
        <w:t xml:space="preserve">Rule 17( c), Ala. R. Civ. P. provides for the appointment of a GAL in certain situations, and provides in part that: The court shall appoint a guardian ad litem (1) for a minor defendant, or (2) for an incompetent person not otherwise represented in an action and may make any other orders it deems proper for the protection of the minor or incompetent person. </w:t>
      </w:r>
      <w:r w:rsidR="00AE5378" w:rsidRPr="00EB6BC8">
        <w:rPr>
          <w:rFonts w:ascii="Times New Roman" w:hAnsi="Times New Roman" w:cs="Times New Roman"/>
          <w:sz w:val="28"/>
          <w:szCs w:val="28"/>
        </w:rPr>
        <w:t xml:space="preserve"> </w:t>
      </w:r>
      <w:r w:rsidR="0072112F" w:rsidRPr="00EB6BC8">
        <w:rPr>
          <w:rFonts w:ascii="Times New Roman" w:hAnsi="Times New Roman" w:cs="Times New Roman"/>
          <w:sz w:val="28"/>
          <w:szCs w:val="28"/>
        </w:rPr>
        <w:t xml:space="preserve">Here, the minors </w:t>
      </w:r>
      <w:r w:rsidR="0066487D" w:rsidRPr="00EB6BC8">
        <w:rPr>
          <w:rFonts w:ascii="Times New Roman" w:hAnsi="Times New Roman" w:cs="Times New Roman"/>
          <w:sz w:val="28"/>
          <w:szCs w:val="28"/>
        </w:rPr>
        <w:t>were not defendants in the cases. The Court held the trial court exceeded its discretion in appoint</w:t>
      </w:r>
      <w:r w:rsidR="0066487D" w:rsidRPr="00EB6BC8">
        <w:rPr>
          <w:rFonts w:ascii="Times New Roman" w:hAnsi="Times New Roman" w:cs="Times New Roman"/>
          <w:sz w:val="28"/>
          <w:szCs w:val="28"/>
        </w:rPr>
        <w:softHyphen/>
        <w:t>ing the guardian ad litem to represent the minor resi</w:t>
      </w:r>
      <w:r w:rsidR="0066487D" w:rsidRPr="00EB6BC8">
        <w:rPr>
          <w:rFonts w:ascii="Times New Roman" w:hAnsi="Times New Roman" w:cs="Times New Roman"/>
          <w:sz w:val="28"/>
          <w:szCs w:val="28"/>
        </w:rPr>
        <w:softHyphen/>
        <w:t xml:space="preserve">dents when there was no conflict of interest between the minor residents and their parents. “In the present </w:t>
      </w:r>
      <w:r w:rsidR="0066487D" w:rsidRPr="00EB6BC8">
        <w:rPr>
          <w:rFonts w:ascii="Times New Roman" w:hAnsi="Times New Roman" w:cs="Times New Roman"/>
          <w:sz w:val="28"/>
          <w:szCs w:val="28"/>
        </w:rPr>
        <w:lastRenderedPageBreak/>
        <w:t xml:space="preserve">case, </w:t>
      </w:r>
      <w:r w:rsidR="0066487D" w:rsidRPr="00A41D08">
        <w:rPr>
          <w:rFonts w:ascii="Times New Roman" w:hAnsi="Times New Roman" w:cs="Times New Roman"/>
          <w:sz w:val="28"/>
          <w:szCs w:val="28"/>
          <w:u w:val="single"/>
        </w:rPr>
        <w:t>with nothing before us to reflect a conflict of interest between any parent and child in</w:t>
      </w:r>
      <w:r w:rsidR="0066487D" w:rsidRPr="00A41D08">
        <w:rPr>
          <w:rFonts w:ascii="Times New Roman" w:hAnsi="Times New Roman" w:cs="Times New Roman"/>
          <w:sz w:val="28"/>
          <w:szCs w:val="28"/>
          <w:u w:val="single"/>
        </w:rPr>
        <w:softHyphen/>
        <w:t>volved as parties in the litigation</w:t>
      </w:r>
      <w:r w:rsidR="0066487D" w:rsidRPr="00EB6BC8">
        <w:rPr>
          <w:rFonts w:ascii="Times New Roman" w:hAnsi="Times New Roman" w:cs="Times New Roman"/>
          <w:sz w:val="28"/>
          <w:szCs w:val="28"/>
        </w:rPr>
        <w:t>, and no proposed settlement agreement currently before the trial court for review, there is no need for a guardian ad litem for the remaining minors at this stage of the proceed</w:t>
      </w:r>
      <w:r w:rsidR="0066487D" w:rsidRPr="00EB6BC8">
        <w:rPr>
          <w:rFonts w:ascii="Times New Roman" w:hAnsi="Times New Roman" w:cs="Times New Roman"/>
          <w:sz w:val="28"/>
          <w:szCs w:val="28"/>
        </w:rPr>
        <w:softHyphen/>
        <w:t>ings</w:t>
      </w:r>
      <w:r w:rsidR="003F23E5" w:rsidRPr="00EB6BC8">
        <w:rPr>
          <w:rFonts w:ascii="Times New Roman" w:hAnsi="Times New Roman" w:cs="Times New Roman"/>
          <w:sz w:val="28"/>
          <w:szCs w:val="28"/>
        </w:rPr>
        <w:t>.</w:t>
      </w:r>
    </w:p>
    <w:p w14:paraId="74C0A5C5" w14:textId="77777777" w:rsidR="0066487D" w:rsidRPr="00EB6BC8" w:rsidRDefault="0066487D" w:rsidP="00CF365D">
      <w:pPr>
        <w:spacing w:after="0"/>
        <w:jc w:val="both"/>
        <w:rPr>
          <w:rFonts w:ascii="Times New Roman" w:hAnsi="Times New Roman" w:cs="Times New Roman"/>
          <w:sz w:val="28"/>
          <w:szCs w:val="28"/>
        </w:rPr>
      </w:pPr>
    </w:p>
    <w:p w14:paraId="1DA46FA7" w14:textId="77777777" w:rsidR="003A46AA" w:rsidRPr="00EB6BC8" w:rsidRDefault="003A46AA" w:rsidP="003A46AA">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 xml:space="preserve">Guardian Ad </w:t>
      </w:r>
      <w:proofErr w:type="spellStart"/>
      <w:r w:rsidRPr="00EB6BC8">
        <w:rPr>
          <w:rFonts w:ascii="Times New Roman" w:hAnsi="Times New Roman" w:cs="Times New Roman"/>
          <w:b/>
          <w:bCs/>
          <w:iCs/>
          <w:sz w:val="28"/>
          <w:szCs w:val="28"/>
        </w:rPr>
        <w:t>Liem</w:t>
      </w:r>
      <w:proofErr w:type="spellEnd"/>
      <w:r w:rsidRPr="00EB6BC8">
        <w:rPr>
          <w:rFonts w:ascii="Times New Roman" w:hAnsi="Times New Roman" w:cs="Times New Roman"/>
          <w:b/>
          <w:bCs/>
          <w:iCs/>
          <w:sz w:val="28"/>
          <w:szCs w:val="28"/>
        </w:rPr>
        <w:t>—</w:t>
      </w:r>
      <w:r w:rsidRPr="00EB6BC8">
        <w:rPr>
          <w:rFonts w:ascii="Times New Roman" w:hAnsi="Times New Roman" w:cs="Times New Roman"/>
          <w:b/>
          <w:bCs/>
          <w:i/>
          <w:iCs/>
          <w:sz w:val="28"/>
          <w:szCs w:val="28"/>
        </w:rPr>
        <w:t xml:space="preserve">Ex </w:t>
      </w:r>
      <w:proofErr w:type="spellStart"/>
      <w:r w:rsidRPr="00EB6BC8">
        <w:rPr>
          <w:rFonts w:ascii="Times New Roman" w:hAnsi="Times New Roman" w:cs="Times New Roman"/>
          <w:b/>
          <w:bCs/>
          <w:i/>
          <w:iCs/>
          <w:sz w:val="28"/>
          <w:szCs w:val="28"/>
        </w:rPr>
        <w:t>parte</w:t>
      </w:r>
      <w:proofErr w:type="spellEnd"/>
      <w:r w:rsidRPr="00EB6BC8">
        <w:rPr>
          <w:rFonts w:ascii="Times New Roman" w:hAnsi="Times New Roman" w:cs="Times New Roman"/>
          <w:b/>
          <w:bCs/>
          <w:i/>
          <w:iCs/>
          <w:sz w:val="28"/>
          <w:szCs w:val="28"/>
        </w:rPr>
        <w:t xml:space="preserve"> </w:t>
      </w:r>
      <w:proofErr w:type="spellStart"/>
      <w:r w:rsidRPr="00EB6BC8">
        <w:rPr>
          <w:rFonts w:ascii="Times New Roman" w:hAnsi="Times New Roman" w:cs="Times New Roman"/>
          <w:b/>
          <w:bCs/>
          <w:i/>
          <w:iCs/>
          <w:sz w:val="28"/>
          <w:szCs w:val="28"/>
        </w:rPr>
        <w:t>Shinaberry</w:t>
      </w:r>
      <w:proofErr w:type="spellEnd"/>
      <w:r w:rsidRPr="00EB6BC8">
        <w:rPr>
          <w:rFonts w:ascii="Times New Roman" w:hAnsi="Times New Roman" w:cs="Times New Roman"/>
          <w:b/>
          <w:bCs/>
          <w:sz w:val="28"/>
          <w:szCs w:val="28"/>
        </w:rPr>
        <w:t xml:space="preserve">, 2020 WL 4380963 (Ala. July 31, 2020) </w:t>
      </w:r>
    </w:p>
    <w:p w14:paraId="485C2186" w14:textId="77777777" w:rsidR="003A46AA" w:rsidRPr="00EB6BC8" w:rsidRDefault="003A46AA" w:rsidP="003A46AA">
      <w:pPr>
        <w:spacing w:after="0"/>
        <w:jc w:val="both"/>
        <w:rPr>
          <w:rFonts w:ascii="Times New Roman" w:hAnsi="Times New Roman" w:cs="Times New Roman"/>
          <w:sz w:val="28"/>
          <w:szCs w:val="28"/>
        </w:rPr>
      </w:pPr>
    </w:p>
    <w:p w14:paraId="117EF2F1" w14:textId="77777777" w:rsidR="003A46AA" w:rsidRPr="00EB6BC8" w:rsidRDefault="003A46AA" w:rsidP="003A46AA">
      <w:pPr>
        <w:spacing w:after="0"/>
        <w:jc w:val="both"/>
        <w:rPr>
          <w:rFonts w:ascii="Times New Roman" w:hAnsi="Times New Roman" w:cs="Times New Roman"/>
          <w:sz w:val="28"/>
          <w:szCs w:val="28"/>
        </w:rPr>
      </w:pPr>
      <w:r w:rsidRPr="00EB6BC8">
        <w:rPr>
          <w:rFonts w:ascii="Times New Roman" w:hAnsi="Times New Roman" w:cs="Times New Roman"/>
          <w:sz w:val="28"/>
          <w:szCs w:val="28"/>
        </w:rPr>
        <w:tab/>
      </w:r>
      <w:proofErr w:type="spellStart"/>
      <w:r w:rsidRPr="00EB6BC8">
        <w:rPr>
          <w:rFonts w:ascii="Times New Roman" w:hAnsi="Times New Roman" w:cs="Times New Roman"/>
          <w:sz w:val="28"/>
          <w:szCs w:val="28"/>
        </w:rPr>
        <w:t>Shinaberry’s</w:t>
      </w:r>
      <w:proofErr w:type="spellEnd"/>
      <w:r w:rsidRPr="00EB6BC8">
        <w:rPr>
          <w:rFonts w:ascii="Times New Roman" w:hAnsi="Times New Roman" w:cs="Times New Roman"/>
          <w:sz w:val="28"/>
          <w:szCs w:val="28"/>
        </w:rPr>
        <w:t xml:space="preserve"> automobile rear-ended an automobile being driven by Guy. Guy’s three minor children and a minor step</w:t>
      </w:r>
      <w:r w:rsidRPr="00EB6BC8">
        <w:rPr>
          <w:rFonts w:ascii="Times New Roman" w:hAnsi="Times New Roman" w:cs="Times New Roman"/>
          <w:sz w:val="28"/>
          <w:szCs w:val="28"/>
        </w:rPr>
        <w:softHyphen/>
        <w:t xml:space="preserve">child were injured. The children, by and through their parents, sued </w:t>
      </w:r>
      <w:proofErr w:type="spellStart"/>
      <w:r w:rsidRPr="00EB6BC8">
        <w:rPr>
          <w:rFonts w:ascii="Times New Roman" w:hAnsi="Times New Roman" w:cs="Times New Roman"/>
          <w:sz w:val="28"/>
          <w:szCs w:val="28"/>
        </w:rPr>
        <w:t>Shinaberry</w:t>
      </w:r>
      <w:proofErr w:type="spellEnd"/>
      <w:r w:rsidRPr="00EB6BC8">
        <w:rPr>
          <w:rFonts w:ascii="Times New Roman" w:hAnsi="Times New Roman" w:cs="Times New Roman"/>
          <w:sz w:val="28"/>
          <w:szCs w:val="28"/>
        </w:rPr>
        <w:t xml:space="preserve"> and her insurer. A settlement was reached. A GAL was appointed for the children for the purpose of determining if the settle</w:t>
      </w:r>
      <w:r w:rsidRPr="00EB6BC8">
        <w:rPr>
          <w:rFonts w:ascii="Times New Roman" w:hAnsi="Times New Roman" w:cs="Times New Roman"/>
          <w:sz w:val="28"/>
          <w:szCs w:val="28"/>
        </w:rPr>
        <w:softHyphen/>
        <w:t>ment was fair to the children. The GAL sought permis</w:t>
      </w:r>
      <w:r w:rsidRPr="00EB6BC8">
        <w:rPr>
          <w:rFonts w:ascii="Times New Roman" w:hAnsi="Times New Roman" w:cs="Times New Roman"/>
          <w:sz w:val="28"/>
          <w:szCs w:val="28"/>
        </w:rPr>
        <w:softHyphen/>
        <w:t xml:space="preserve">sion to have a physician examine one of the children. However, the GAL failed to communicate with the attorneys for nine months. </w:t>
      </w:r>
    </w:p>
    <w:p w14:paraId="4E3AB22F" w14:textId="77777777" w:rsidR="003A46AA" w:rsidRPr="00EB6BC8" w:rsidRDefault="003A46AA" w:rsidP="003A46AA">
      <w:pPr>
        <w:spacing w:after="0"/>
        <w:jc w:val="both"/>
        <w:rPr>
          <w:rFonts w:ascii="Times New Roman" w:hAnsi="Times New Roman" w:cs="Times New Roman"/>
          <w:sz w:val="28"/>
          <w:szCs w:val="28"/>
        </w:rPr>
      </w:pPr>
    </w:p>
    <w:p w14:paraId="3CD29C7A" w14:textId="77777777" w:rsidR="003A46AA" w:rsidRPr="00EB6BC8" w:rsidRDefault="003A46AA" w:rsidP="003A46AA">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A pro </w:t>
      </w:r>
      <w:proofErr w:type="spellStart"/>
      <w:r w:rsidRPr="00EB6BC8">
        <w:rPr>
          <w:rFonts w:ascii="Times New Roman" w:hAnsi="Times New Roman" w:cs="Times New Roman"/>
          <w:sz w:val="28"/>
          <w:szCs w:val="28"/>
        </w:rPr>
        <w:t>ami</w:t>
      </w:r>
      <w:proofErr w:type="spellEnd"/>
      <w:r w:rsidRPr="00EB6BC8">
        <w:rPr>
          <w:rFonts w:ascii="Times New Roman" w:hAnsi="Times New Roman" w:cs="Times New Roman"/>
          <w:sz w:val="28"/>
          <w:szCs w:val="28"/>
        </w:rPr>
        <w:t xml:space="preserve"> hearing was finally held well over a year after the settlement. The circuit court approved the settlement: $15,230 to the children after their counsel was paid a fee of $4,470 and the medical ex</w:t>
      </w:r>
      <w:r w:rsidRPr="00EB6BC8">
        <w:rPr>
          <w:rFonts w:ascii="Times New Roman" w:hAnsi="Times New Roman" w:cs="Times New Roman"/>
          <w:sz w:val="28"/>
          <w:szCs w:val="28"/>
        </w:rPr>
        <w:softHyphen/>
        <w:t xml:space="preserve">penses were satisfied. The GAL was awarded $8,000 based on his affidavit that he worked 32 hours at a rate of $250 per hour. </w:t>
      </w:r>
      <w:proofErr w:type="spellStart"/>
      <w:r w:rsidRPr="00EB6BC8">
        <w:rPr>
          <w:rFonts w:ascii="Times New Roman" w:hAnsi="Times New Roman" w:cs="Times New Roman"/>
          <w:sz w:val="28"/>
          <w:szCs w:val="28"/>
        </w:rPr>
        <w:t>Shinaberry</w:t>
      </w:r>
      <w:proofErr w:type="spellEnd"/>
      <w:r w:rsidRPr="00EB6BC8">
        <w:rPr>
          <w:rFonts w:ascii="Times New Roman" w:hAnsi="Times New Roman" w:cs="Times New Roman"/>
          <w:sz w:val="28"/>
          <w:szCs w:val="28"/>
        </w:rPr>
        <w:t xml:space="preserve"> filed an objection to the amount of the GAL’s fee. After a hearing, the circuit court reduced the GAL’s fee to $7,750 because he appeared by telephone at one of the hearings. </w:t>
      </w:r>
      <w:proofErr w:type="spellStart"/>
      <w:r w:rsidRPr="00EB6BC8">
        <w:rPr>
          <w:rFonts w:ascii="Times New Roman" w:hAnsi="Times New Roman" w:cs="Times New Roman"/>
          <w:sz w:val="28"/>
          <w:szCs w:val="28"/>
        </w:rPr>
        <w:t>Shinaberry</w:t>
      </w:r>
      <w:proofErr w:type="spellEnd"/>
      <w:r w:rsidRPr="00EB6BC8">
        <w:rPr>
          <w:rFonts w:ascii="Times New Roman" w:hAnsi="Times New Roman" w:cs="Times New Roman"/>
          <w:sz w:val="28"/>
          <w:szCs w:val="28"/>
        </w:rPr>
        <w:t xml:space="preserve"> appealed. The Court of Civil Appeals affirmed without an opinion and </w:t>
      </w:r>
      <w:proofErr w:type="spellStart"/>
      <w:r w:rsidRPr="00EB6BC8">
        <w:rPr>
          <w:rFonts w:ascii="Times New Roman" w:hAnsi="Times New Roman" w:cs="Times New Roman"/>
          <w:sz w:val="28"/>
          <w:szCs w:val="28"/>
        </w:rPr>
        <w:t>Shinberry</w:t>
      </w:r>
      <w:proofErr w:type="spellEnd"/>
      <w:r w:rsidRPr="00EB6BC8">
        <w:rPr>
          <w:rFonts w:ascii="Times New Roman" w:hAnsi="Times New Roman" w:cs="Times New Roman"/>
          <w:sz w:val="28"/>
          <w:szCs w:val="28"/>
        </w:rPr>
        <w:t xml:space="preserve"> petitioned the Supreme Court for a writ of certiora</w:t>
      </w:r>
      <w:r w:rsidRPr="00EB6BC8">
        <w:rPr>
          <w:rFonts w:ascii="Times New Roman" w:hAnsi="Times New Roman" w:cs="Times New Roman"/>
          <w:sz w:val="28"/>
          <w:szCs w:val="28"/>
        </w:rPr>
        <w:softHyphen/>
        <w:t xml:space="preserve">ri.  The Alabama Supreme Court reversed the trial court's order. </w:t>
      </w:r>
    </w:p>
    <w:p w14:paraId="76C9C145" w14:textId="77777777" w:rsidR="003A46AA" w:rsidRPr="00EB6BC8" w:rsidRDefault="003A46AA" w:rsidP="003A46AA">
      <w:pPr>
        <w:spacing w:after="0"/>
        <w:jc w:val="both"/>
        <w:rPr>
          <w:rFonts w:ascii="Times New Roman" w:hAnsi="Times New Roman" w:cs="Times New Roman"/>
          <w:sz w:val="28"/>
          <w:szCs w:val="28"/>
        </w:rPr>
      </w:pPr>
    </w:p>
    <w:p w14:paraId="350862D0" w14:textId="77777777" w:rsidR="003A46AA" w:rsidRPr="00EB6BC8" w:rsidRDefault="003A46AA" w:rsidP="003A46AA">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Rule 17(d), </w:t>
      </w:r>
      <w:r w:rsidR="00A41D08">
        <w:rPr>
          <w:rFonts w:ascii="Times New Roman" w:hAnsi="Times New Roman" w:cs="Times New Roman"/>
          <w:sz w:val="28"/>
          <w:szCs w:val="28"/>
        </w:rPr>
        <w:t>of the Alabama Rules of Civil Procedure</w:t>
      </w:r>
      <w:r w:rsidRPr="00EB6BC8">
        <w:rPr>
          <w:rFonts w:ascii="Times New Roman" w:hAnsi="Times New Roman" w:cs="Times New Roman"/>
          <w:sz w:val="28"/>
          <w:szCs w:val="28"/>
        </w:rPr>
        <w:t xml:space="preserve"> governs the use and compensation of </w:t>
      </w:r>
      <w:proofErr w:type="gramStart"/>
      <w:r w:rsidRPr="00EB6BC8">
        <w:rPr>
          <w:rFonts w:ascii="Times New Roman" w:hAnsi="Times New Roman" w:cs="Times New Roman"/>
          <w:sz w:val="28"/>
          <w:szCs w:val="28"/>
        </w:rPr>
        <w:t>guardians</w:t>
      </w:r>
      <w:proofErr w:type="gramEnd"/>
      <w:r w:rsidRPr="00EB6BC8">
        <w:rPr>
          <w:rFonts w:ascii="Times New Roman" w:hAnsi="Times New Roman" w:cs="Times New Roman"/>
          <w:sz w:val="28"/>
          <w:szCs w:val="28"/>
        </w:rPr>
        <w:t xml:space="preserve"> ad litem in civ</w:t>
      </w:r>
      <w:r w:rsidRPr="00EB6BC8">
        <w:rPr>
          <w:rFonts w:ascii="Times New Roman" w:hAnsi="Times New Roman" w:cs="Times New Roman"/>
          <w:sz w:val="28"/>
          <w:szCs w:val="28"/>
        </w:rPr>
        <w:softHyphen/>
        <w:t xml:space="preserve">il cases and requires the assessment of a reasonable fee for his or her legal services. Rule 17(d) does not provide guidance on how to establish a guardian ad </w:t>
      </w:r>
      <w:proofErr w:type="spellStart"/>
      <w:r w:rsidRPr="00EB6BC8">
        <w:rPr>
          <w:rFonts w:ascii="Times New Roman" w:hAnsi="Times New Roman" w:cs="Times New Roman"/>
          <w:sz w:val="28"/>
          <w:szCs w:val="28"/>
        </w:rPr>
        <w:t>litem’s</w:t>
      </w:r>
      <w:proofErr w:type="spellEnd"/>
      <w:r w:rsidRPr="00EB6BC8">
        <w:rPr>
          <w:rFonts w:ascii="Times New Roman" w:hAnsi="Times New Roman" w:cs="Times New Roman"/>
          <w:sz w:val="28"/>
          <w:szCs w:val="28"/>
        </w:rPr>
        <w:t xml:space="preserve"> fee, but the Court has applied criteria that may be considered when determining the reasonableness of an attorney fee: (1) [T]he nature and value of the subject matter of the employment; (2) the learning, skill, and labor requisite to its proper discharge; (3) the time consumed; (4) the professional experience and reputation of the attorney; (5) the weight of his responsibilities; (6) the measure of success achieved; (7) the reasonable expenses incurred; (8)whether a fee is fixed or contingent; (9) the nature and length of the professional relationship; (10) the fees custom</w:t>
      </w:r>
      <w:r w:rsidRPr="00EB6BC8">
        <w:rPr>
          <w:rFonts w:ascii="Times New Roman" w:hAnsi="Times New Roman" w:cs="Times New Roman"/>
          <w:sz w:val="28"/>
          <w:szCs w:val="28"/>
        </w:rPr>
        <w:softHyphen/>
        <w:t xml:space="preserve">arily charged in the locality for similar legal services; (11) the </w:t>
      </w:r>
      <w:r w:rsidRPr="00EB6BC8">
        <w:rPr>
          <w:rFonts w:ascii="Times New Roman" w:hAnsi="Times New Roman" w:cs="Times New Roman"/>
          <w:sz w:val="28"/>
          <w:szCs w:val="28"/>
        </w:rPr>
        <w:lastRenderedPageBreak/>
        <w:t>likelihood that a particular employment may preclude other employment; and (12) the time limita</w:t>
      </w:r>
      <w:r w:rsidRPr="00EB6BC8">
        <w:rPr>
          <w:rFonts w:ascii="Times New Roman" w:hAnsi="Times New Roman" w:cs="Times New Roman"/>
          <w:sz w:val="28"/>
          <w:szCs w:val="28"/>
        </w:rPr>
        <w:softHyphen/>
        <w:t xml:space="preserve">tions imposed by the client or by the circumstances. </w:t>
      </w:r>
      <w:r w:rsidRPr="00EB6BC8">
        <w:rPr>
          <w:rFonts w:ascii="Times New Roman" w:hAnsi="Times New Roman" w:cs="Times New Roman"/>
          <w:i/>
          <w:iCs/>
          <w:sz w:val="28"/>
          <w:szCs w:val="28"/>
        </w:rPr>
        <w:t>Pharmacia Corp. v. McGowan</w:t>
      </w:r>
      <w:r w:rsidRPr="00EB6BC8">
        <w:rPr>
          <w:rFonts w:ascii="Times New Roman" w:hAnsi="Times New Roman" w:cs="Times New Roman"/>
          <w:sz w:val="28"/>
          <w:szCs w:val="28"/>
        </w:rPr>
        <w:t>, 915 So. 2d 549 (Ala. 2004). The Court defers to the trial court’s judgment in an attorney fee case, because it presided over the entire litigation. Nevertheless, a trial court’s order regarding an attorney fee must allow for meaningful appellate review by articulating the decisions made, the reasons supporting those decisions, and how it calculated the attorney fee.</w:t>
      </w:r>
    </w:p>
    <w:p w14:paraId="1DC38B06" w14:textId="77777777" w:rsidR="003A46AA" w:rsidRPr="00EB6BC8" w:rsidRDefault="003A46AA" w:rsidP="003A46AA">
      <w:pPr>
        <w:spacing w:after="0"/>
        <w:jc w:val="both"/>
        <w:rPr>
          <w:rFonts w:ascii="Times New Roman" w:hAnsi="Times New Roman" w:cs="Times New Roman"/>
          <w:sz w:val="28"/>
          <w:szCs w:val="28"/>
        </w:rPr>
      </w:pPr>
    </w:p>
    <w:p w14:paraId="71B92744" w14:textId="77777777" w:rsidR="003A46AA" w:rsidRPr="00EB6BC8" w:rsidRDefault="003A46AA" w:rsidP="003A46AA">
      <w:pPr>
        <w:spacing w:after="0"/>
        <w:jc w:val="both"/>
        <w:rPr>
          <w:rFonts w:ascii="Times New Roman" w:hAnsi="Times New Roman" w:cs="Times New Roman"/>
          <w:sz w:val="28"/>
          <w:szCs w:val="28"/>
        </w:rPr>
      </w:pPr>
      <w:r w:rsidRPr="00EB6BC8">
        <w:rPr>
          <w:rFonts w:ascii="Times New Roman" w:hAnsi="Times New Roman" w:cs="Times New Roman"/>
          <w:sz w:val="28"/>
          <w:szCs w:val="28"/>
        </w:rPr>
        <w:tab/>
        <w:t>Here the GAL failed to itemize the services he per</w:t>
      </w:r>
      <w:r w:rsidRPr="00EB6BC8">
        <w:rPr>
          <w:rFonts w:ascii="Times New Roman" w:hAnsi="Times New Roman" w:cs="Times New Roman"/>
          <w:sz w:val="28"/>
          <w:szCs w:val="28"/>
        </w:rPr>
        <w:softHyphen/>
        <w:t>formed in his limited role</w:t>
      </w:r>
      <w:r w:rsidR="00A41D08">
        <w:rPr>
          <w:rFonts w:ascii="Times New Roman" w:hAnsi="Times New Roman" w:cs="Times New Roman"/>
          <w:sz w:val="28"/>
          <w:szCs w:val="28"/>
        </w:rPr>
        <w:t>.</w:t>
      </w:r>
      <w:r w:rsidRPr="00EB6BC8">
        <w:rPr>
          <w:rFonts w:ascii="Times New Roman" w:hAnsi="Times New Roman" w:cs="Times New Roman"/>
          <w:sz w:val="28"/>
          <w:szCs w:val="28"/>
        </w:rPr>
        <w:t xml:space="preserve"> The GAL stated that he spent 32 hours working on this case; however, he failed to provide the parties and the court with a report giving his recommendation, nor did he indicate how he spent those 32 hours or with whom he spoke or what he reviewed as part of his evaluation. The GAL delayed the parties’ settlement by failing to communicate with the parties’ attorneys for a nine-month period. It also appeared that the GAL took on tasks that were either unnecessary or outside his limited role, and that his fee was almost twice the damages awarded to the minor plaintiffs and almost twice the fee awarded to the attorneys who repre</w:t>
      </w:r>
      <w:r w:rsidRPr="00EB6BC8">
        <w:rPr>
          <w:rFonts w:ascii="Times New Roman" w:hAnsi="Times New Roman" w:cs="Times New Roman"/>
          <w:sz w:val="28"/>
          <w:szCs w:val="28"/>
        </w:rPr>
        <w:softHyphen/>
        <w:t xml:space="preserve">sented the plaintiffs. </w:t>
      </w:r>
    </w:p>
    <w:p w14:paraId="67243D7C" w14:textId="77777777" w:rsidR="003A46AA" w:rsidRPr="00EB6BC8" w:rsidRDefault="003A46AA" w:rsidP="00CF365D">
      <w:pPr>
        <w:spacing w:after="0"/>
        <w:jc w:val="both"/>
        <w:rPr>
          <w:rFonts w:ascii="Times New Roman" w:hAnsi="Times New Roman" w:cs="Times New Roman"/>
          <w:sz w:val="28"/>
          <w:szCs w:val="28"/>
        </w:rPr>
      </w:pPr>
    </w:p>
    <w:p w14:paraId="74579988" w14:textId="77777777" w:rsidR="00EA3F8D" w:rsidRPr="00EB6BC8" w:rsidRDefault="00EA3F8D" w:rsidP="00EA3F8D">
      <w:pPr>
        <w:spacing w:after="0"/>
        <w:jc w:val="both"/>
        <w:rPr>
          <w:rFonts w:ascii="Times New Roman" w:hAnsi="Times New Roman" w:cs="Times New Roman"/>
          <w:sz w:val="28"/>
          <w:szCs w:val="28"/>
        </w:rPr>
      </w:pPr>
      <w:r w:rsidRPr="00EB6BC8">
        <w:rPr>
          <w:rFonts w:ascii="Times New Roman" w:hAnsi="Times New Roman" w:cs="Times New Roman"/>
          <w:b/>
          <w:iCs/>
          <w:sz w:val="28"/>
          <w:szCs w:val="28"/>
        </w:rPr>
        <w:t>UM/UIM</w:t>
      </w:r>
      <w:r w:rsidRPr="00EB6BC8">
        <w:rPr>
          <w:rFonts w:ascii="Times New Roman" w:hAnsi="Times New Roman" w:cs="Times New Roman"/>
          <w:b/>
          <w:i/>
          <w:iCs/>
          <w:sz w:val="28"/>
          <w:szCs w:val="28"/>
        </w:rPr>
        <w:t>—Beeman v. ACCC Ins. Co.</w:t>
      </w:r>
      <w:r w:rsidRPr="00EB6BC8">
        <w:rPr>
          <w:rFonts w:ascii="Times New Roman" w:hAnsi="Times New Roman" w:cs="Times New Roman"/>
          <w:b/>
          <w:sz w:val="28"/>
          <w:szCs w:val="28"/>
        </w:rPr>
        <w:t xml:space="preserve">, 283 So. 3d 1235 (Ala. Civ. App. 2019) </w:t>
      </w:r>
    </w:p>
    <w:p w14:paraId="5FA9EE4A" w14:textId="77777777" w:rsidR="00EA3F8D" w:rsidRPr="00EB6BC8" w:rsidRDefault="00EA3F8D" w:rsidP="00EA3F8D">
      <w:pPr>
        <w:spacing w:after="0"/>
        <w:jc w:val="both"/>
        <w:rPr>
          <w:rFonts w:ascii="Times New Roman" w:hAnsi="Times New Roman" w:cs="Times New Roman"/>
          <w:sz w:val="28"/>
          <w:szCs w:val="28"/>
        </w:rPr>
      </w:pPr>
    </w:p>
    <w:p w14:paraId="15277EB4" w14:textId="77777777" w:rsidR="00EA3F8D" w:rsidRPr="00EB6BC8" w:rsidRDefault="00EA3F8D" w:rsidP="00EA3F8D">
      <w:pPr>
        <w:spacing w:after="0"/>
        <w:jc w:val="both"/>
        <w:rPr>
          <w:rFonts w:ascii="Times New Roman" w:hAnsi="Times New Roman" w:cs="Times New Roman"/>
          <w:sz w:val="28"/>
          <w:szCs w:val="28"/>
        </w:rPr>
      </w:pPr>
      <w:r w:rsidRPr="00EB6BC8">
        <w:rPr>
          <w:rFonts w:ascii="Times New Roman" w:hAnsi="Times New Roman" w:cs="Times New Roman"/>
          <w:sz w:val="28"/>
          <w:szCs w:val="28"/>
        </w:rPr>
        <w:tab/>
        <w:t>Beeman was injured in an automobile accident. Beeman was driving an auto</w:t>
      </w:r>
      <w:r w:rsidRPr="00EB6BC8">
        <w:rPr>
          <w:rFonts w:ascii="Times New Roman" w:hAnsi="Times New Roman" w:cs="Times New Roman"/>
          <w:sz w:val="28"/>
          <w:szCs w:val="28"/>
        </w:rPr>
        <w:softHyphen/>
        <w:t>mobile insured under an insurance policy purchased by Reese from ACCC Insurance Company. The driver of the other vehicle, LaChance, was uninsured. Beeman sued LaChance for negligence and wantonness. He later added a claim for unin</w:t>
      </w:r>
      <w:r w:rsidRPr="00EB6BC8">
        <w:rPr>
          <w:rFonts w:ascii="Times New Roman" w:hAnsi="Times New Roman" w:cs="Times New Roman"/>
          <w:sz w:val="28"/>
          <w:szCs w:val="28"/>
        </w:rPr>
        <w:softHyphen/>
        <w:t>sured-motorist (“UIM”) benefits from ACCC. The insurer moved to dismiss Beeman’s claim, arguing Reese was the “named insured” under the policy and she had rejected UIM coverage. After a hearing, the tri</w:t>
      </w:r>
      <w:r w:rsidRPr="00EB6BC8">
        <w:rPr>
          <w:rFonts w:ascii="Times New Roman" w:hAnsi="Times New Roman" w:cs="Times New Roman"/>
          <w:sz w:val="28"/>
          <w:szCs w:val="28"/>
        </w:rPr>
        <w:softHyphen/>
        <w:t xml:space="preserve">al court granted the motion to dismiss. </w:t>
      </w:r>
    </w:p>
    <w:p w14:paraId="27346F7F" w14:textId="77777777" w:rsidR="00EA3F8D" w:rsidRPr="00EB6BC8" w:rsidRDefault="00EA3F8D" w:rsidP="00EA3F8D">
      <w:pPr>
        <w:spacing w:after="0"/>
        <w:jc w:val="both"/>
        <w:rPr>
          <w:rFonts w:ascii="Times New Roman" w:hAnsi="Times New Roman" w:cs="Times New Roman"/>
          <w:sz w:val="28"/>
          <w:szCs w:val="28"/>
        </w:rPr>
      </w:pPr>
    </w:p>
    <w:p w14:paraId="21A62624" w14:textId="77777777" w:rsidR="00EA3F8D" w:rsidRPr="00EB6BC8" w:rsidRDefault="00EA3F8D" w:rsidP="00EA3F8D">
      <w:pPr>
        <w:spacing w:after="0"/>
        <w:jc w:val="both"/>
        <w:rPr>
          <w:rFonts w:ascii="Times New Roman" w:hAnsi="Times New Roman" w:cs="Times New Roman"/>
          <w:sz w:val="28"/>
          <w:szCs w:val="28"/>
        </w:rPr>
      </w:pPr>
      <w:r w:rsidRPr="00EB6BC8">
        <w:rPr>
          <w:rFonts w:ascii="Times New Roman" w:hAnsi="Times New Roman" w:cs="Times New Roman"/>
          <w:sz w:val="28"/>
          <w:szCs w:val="28"/>
        </w:rPr>
        <w:tab/>
        <w:t>Reese was the sole applicant of the insurance policy and she specifically rejected UIM coverage. The renewal certificate on that policy indicates the “policyholder” is Reese. Beeman argued he is a “named insured” on the policy since he is listed as a “driver” on the declarations page of the renewal certificate and is an “insured person” un</w:t>
      </w:r>
      <w:r w:rsidRPr="00EB6BC8">
        <w:rPr>
          <w:rFonts w:ascii="Times New Roman" w:hAnsi="Times New Roman" w:cs="Times New Roman"/>
          <w:sz w:val="28"/>
          <w:szCs w:val="28"/>
        </w:rPr>
        <w:softHyphen/>
        <w:t xml:space="preserve">der the policy.  Therefore, Reese’s rejection of UIM coverage is not binding on him. </w:t>
      </w:r>
    </w:p>
    <w:p w14:paraId="7E120618" w14:textId="77777777" w:rsidR="00EA3F8D" w:rsidRPr="00EB6BC8" w:rsidRDefault="00EA3F8D" w:rsidP="00EA3F8D">
      <w:pPr>
        <w:spacing w:after="0"/>
        <w:jc w:val="both"/>
        <w:rPr>
          <w:rFonts w:ascii="Times New Roman" w:hAnsi="Times New Roman" w:cs="Times New Roman"/>
          <w:sz w:val="28"/>
          <w:szCs w:val="28"/>
        </w:rPr>
      </w:pPr>
    </w:p>
    <w:p w14:paraId="1480D0D1" w14:textId="77777777" w:rsidR="00EA3F8D" w:rsidRPr="00EB6BC8" w:rsidRDefault="00EA3F8D" w:rsidP="00EA3F8D">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Under Alabama law, each named insured must reject UIM coverage for himself or herself. After reviewing decisions in other jurisdictions, the Alabama </w:t>
      </w:r>
      <w:r w:rsidRPr="00EB6BC8">
        <w:rPr>
          <w:rFonts w:ascii="Times New Roman" w:hAnsi="Times New Roman" w:cs="Times New Roman"/>
          <w:sz w:val="28"/>
          <w:szCs w:val="28"/>
        </w:rPr>
        <w:lastRenderedPageBreak/>
        <w:t>Supreme Court held that listing a person as a "driver" does not make the person a “named insured.”</w:t>
      </w:r>
    </w:p>
    <w:p w14:paraId="2CD78C69" w14:textId="77777777" w:rsidR="00393CE2" w:rsidRPr="00EB6BC8" w:rsidRDefault="00393CE2" w:rsidP="00DD3E03">
      <w:pPr>
        <w:spacing w:after="0"/>
        <w:jc w:val="both"/>
        <w:rPr>
          <w:rFonts w:ascii="Times New Roman" w:hAnsi="Times New Roman" w:cs="Times New Roman"/>
          <w:sz w:val="28"/>
          <w:szCs w:val="28"/>
        </w:rPr>
      </w:pPr>
    </w:p>
    <w:p w14:paraId="6432719B" w14:textId="77777777" w:rsidR="005F3288" w:rsidRPr="00EB6BC8" w:rsidRDefault="001F4423" w:rsidP="00DD3E03">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UM/UIM/Jury Trial—</w:t>
      </w:r>
      <w:r w:rsidR="00715A49" w:rsidRPr="00EB6BC8">
        <w:rPr>
          <w:rFonts w:ascii="Times New Roman" w:hAnsi="Times New Roman" w:cs="Times New Roman"/>
          <w:b/>
          <w:bCs/>
          <w:i/>
          <w:iCs/>
          <w:sz w:val="28"/>
          <w:szCs w:val="28"/>
        </w:rPr>
        <w:t>Ex parte Allstate Prop. and Cas. Ins. Co.</w:t>
      </w:r>
      <w:r w:rsidR="00406242" w:rsidRPr="00EB6BC8">
        <w:rPr>
          <w:rFonts w:ascii="Times New Roman" w:hAnsi="Times New Roman" w:cs="Times New Roman"/>
          <w:b/>
          <w:bCs/>
          <w:i/>
          <w:iCs/>
          <w:sz w:val="28"/>
          <w:szCs w:val="28"/>
        </w:rPr>
        <w:t>,</w:t>
      </w:r>
      <w:r w:rsidR="00406242" w:rsidRPr="00EB6BC8">
        <w:rPr>
          <w:rFonts w:ascii="Times New Roman" w:hAnsi="Times New Roman" w:cs="Times New Roman"/>
          <w:b/>
          <w:bCs/>
          <w:sz w:val="28"/>
          <w:szCs w:val="28"/>
        </w:rPr>
        <w:t xml:space="preserve"> 2020 </w:t>
      </w:r>
      <w:r w:rsidR="00715A49" w:rsidRPr="00EB6BC8">
        <w:rPr>
          <w:rFonts w:ascii="Times New Roman" w:hAnsi="Times New Roman" w:cs="Times New Roman"/>
          <w:b/>
          <w:bCs/>
          <w:sz w:val="28"/>
          <w:szCs w:val="28"/>
        </w:rPr>
        <w:t>WL 502667</w:t>
      </w:r>
      <w:r w:rsidR="00406242" w:rsidRPr="00EB6BC8">
        <w:rPr>
          <w:rFonts w:ascii="Times New Roman" w:hAnsi="Times New Roman" w:cs="Times New Roman"/>
          <w:b/>
          <w:bCs/>
          <w:sz w:val="28"/>
          <w:szCs w:val="28"/>
        </w:rPr>
        <w:t xml:space="preserve"> (Ala. Jan. 31, 2020).</w:t>
      </w:r>
    </w:p>
    <w:p w14:paraId="7E3D42DD" w14:textId="77777777" w:rsidR="009304C3" w:rsidRPr="00EB6BC8" w:rsidRDefault="009304C3" w:rsidP="00DD3E03">
      <w:pPr>
        <w:spacing w:after="0"/>
        <w:jc w:val="both"/>
        <w:rPr>
          <w:rFonts w:ascii="Times New Roman" w:hAnsi="Times New Roman" w:cs="Times New Roman"/>
          <w:b/>
          <w:bCs/>
          <w:sz w:val="28"/>
          <w:szCs w:val="28"/>
        </w:rPr>
      </w:pPr>
    </w:p>
    <w:p w14:paraId="0F3B0648" w14:textId="77777777" w:rsidR="00C260BE" w:rsidRPr="00EB6BC8" w:rsidRDefault="009304C3" w:rsidP="00DD3E03">
      <w:pPr>
        <w:spacing w:after="0"/>
        <w:jc w:val="both"/>
        <w:rPr>
          <w:rFonts w:ascii="Times New Roman" w:hAnsi="Times New Roman" w:cs="Times New Roman"/>
          <w:sz w:val="28"/>
          <w:szCs w:val="28"/>
        </w:rPr>
      </w:pPr>
      <w:r w:rsidRPr="00EB6BC8">
        <w:rPr>
          <w:rFonts w:ascii="Times New Roman" w:hAnsi="Times New Roman" w:cs="Times New Roman"/>
          <w:b/>
          <w:bCs/>
          <w:sz w:val="28"/>
          <w:szCs w:val="28"/>
        </w:rPr>
        <w:tab/>
      </w:r>
      <w:r w:rsidR="0040213B" w:rsidRPr="00EB6BC8">
        <w:rPr>
          <w:rFonts w:ascii="Times New Roman" w:hAnsi="Times New Roman" w:cs="Times New Roman"/>
          <w:bCs/>
          <w:sz w:val="28"/>
          <w:szCs w:val="28"/>
        </w:rPr>
        <w:t>A</w:t>
      </w:r>
      <w:r w:rsidR="00C260BE" w:rsidRPr="00EB6BC8">
        <w:rPr>
          <w:rFonts w:ascii="Times New Roman" w:hAnsi="Times New Roman" w:cs="Times New Roman"/>
          <w:sz w:val="28"/>
          <w:szCs w:val="28"/>
        </w:rPr>
        <w:t xml:space="preserve"> ve</w:t>
      </w:r>
      <w:r w:rsidR="00C260BE" w:rsidRPr="00EB6BC8">
        <w:rPr>
          <w:rFonts w:ascii="Times New Roman" w:hAnsi="Times New Roman" w:cs="Times New Roman"/>
          <w:sz w:val="28"/>
          <w:szCs w:val="28"/>
        </w:rPr>
        <w:softHyphen/>
        <w:t xml:space="preserve">hicle occupied by Carter was involved in an accident with a vehicle being driven by Walker. Carter sued Walker, </w:t>
      </w:r>
      <w:proofErr w:type="gramStart"/>
      <w:r w:rsidR="00C260BE" w:rsidRPr="00EB6BC8">
        <w:rPr>
          <w:rFonts w:ascii="Times New Roman" w:hAnsi="Times New Roman" w:cs="Times New Roman"/>
          <w:sz w:val="28"/>
          <w:szCs w:val="28"/>
        </w:rPr>
        <w:t>and also</w:t>
      </w:r>
      <w:proofErr w:type="gramEnd"/>
      <w:r w:rsidR="00C260BE" w:rsidRPr="00EB6BC8">
        <w:rPr>
          <w:rFonts w:ascii="Times New Roman" w:hAnsi="Times New Roman" w:cs="Times New Roman"/>
          <w:sz w:val="28"/>
          <w:szCs w:val="28"/>
        </w:rPr>
        <w:t xml:space="preserve"> sued her underinsured motorist carrier, Allstate. In her complaint, Carter demanded a jury trial, and Allstate likewise demanded a jury tri</w:t>
      </w:r>
      <w:r w:rsidR="00C260BE" w:rsidRPr="00EB6BC8">
        <w:rPr>
          <w:rFonts w:ascii="Times New Roman" w:hAnsi="Times New Roman" w:cs="Times New Roman"/>
          <w:sz w:val="28"/>
          <w:szCs w:val="28"/>
        </w:rPr>
        <w:softHyphen/>
        <w:t>al in its answer. Allstate opted out of active participation in the litigation. As the trial date approached, Carter and Walker decid</w:t>
      </w:r>
      <w:r w:rsidR="00C260BE" w:rsidRPr="00EB6BC8">
        <w:rPr>
          <w:rFonts w:ascii="Times New Roman" w:hAnsi="Times New Roman" w:cs="Times New Roman"/>
          <w:sz w:val="28"/>
          <w:szCs w:val="28"/>
        </w:rPr>
        <w:softHyphen/>
        <w:t>ed they would rather try the case without a jury. All</w:t>
      </w:r>
      <w:r w:rsidR="00C260BE" w:rsidRPr="00EB6BC8">
        <w:rPr>
          <w:rFonts w:ascii="Times New Roman" w:hAnsi="Times New Roman" w:cs="Times New Roman"/>
          <w:sz w:val="28"/>
          <w:szCs w:val="28"/>
        </w:rPr>
        <w:softHyphen/>
        <w:t>state, however, demanded a jury trial. The trial court denied Allstate’s demand and set the case for a non</w:t>
      </w:r>
      <w:r w:rsidR="00C260BE" w:rsidRPr="00EB6BC8">
        <w:rPr>
          <w:rFonts w:ascii="Times New Roman" w:hAnsi="Times New Roman" w:cs="Times New Roman"/>
          <w:sz w:val="28"/>
          <w:szCs w:val="28"/>
        </w:rPr>
        <w:softHyphen/>
        <w:t>jury trial. Allstate then petitioned for a writ of man</w:t>
      </w:r>
      <w:r w:rsidR="00C260BE" w:rsidRPr="00EB6BC8">
        <w:rPr>
          <w:rFonts w:ascii="Times New Roman" w:hAnsi="Times New Roman" w:cs="Times New Roman"/>
          <w:sz w:val="28"/>
          <w:szCs w:val="28"/>
        </w:rPr>
        <w:softHyphen/>
        <w:t>damus.</w:t>
      </w:r>
      <w:r w:rsidR="0040213B" w:rsidRPr="00EB6BC8">
        <w:rPr>
          <w:rFonts w:ascii="Times New Roman" w:hAnsi="Times New Roman" w:cs="Times New Roman"/>
          <w:sz w:val="28"/>
          <w:szCs w:val="28"/>
        </w:rPr>
        <w:t xml:space="preserve"> The Court issued a writ of mandamus </w:t>
      </w:r>
      <w:r w:rsidR="00C260BE" w:rsidRPr="00EB6BC8">
        <w:rPr>
          <w:rFonts w:ascii="Times New Roman" w:hAnsi="Times New Roman" w:cs="Times New Roman"/>
          <w:sz w:val="28"/>
          <w:szCs w:val="28"/>
        </w:rPr>
        <w:t>not</w:t>
      </w:r>
      <w:r w:rsidR="0040213B" w:rsidRPr="00EB6BC8">
        <w:rPr>
          <w:rFonts w:ascii="Times New Roman" w:hAnsi="Times New Roman" w:cs="Times New Roman"/>
          <w:sz w:val="28"/>
          <w:szCs w:val="28"/>
        </w:rPr>
        <w:t>ing</w:t>
      </w:r>
      <w:r w:rsidR="00C260BE" w:rsidRPr="00EB6BC8">
        <w:rPr>
          <w:rFonts w:ascii="Times New Roman" w:hAnsi="Times New Roman" w:cs="Times New Roman"/>
          <w:sz w:val="28"/>
          <w:szCs w:val="28"/>
        </w:rPr>
        <w:t xml:space="preserve"> that even when an insurer opts out of an action, it is not without means to protect its interests with respect to liability and damage. Allstate can insist that a jury determine liability and damages and, at the same time, keep its involvement from the jury pursuant to the opt-out procedure adopted in </w:t>
      </w:r>
      <w:r w:rsidR="00C260BE" w:rsidRPr="00EB6BC8">
        <w:rPr>
          <w:rFonts w:ascii="Times New Roman" w:hAnsi="Times New Roman" w:cs="Times New Roman"/>
          <w:i/>
          <w:iCs/>
          <w:sz w:val="28"/>
          <w:szCs w:val="28"/>
        </w:rPr>
        <w:t>Lowe</w:t>
      </w:r>
      <w:r w:rsidR="005F3288" w:rsidRPr="00EB6BC8">
        <w:rPr>
          <w:rFonts w:ascii="Times New Roman" w:hAnsi="Times New Roman" w:cs="Times New Roman"/>
          <w:i/>
          <w:iCs/>
          <w:sz w:val="28"/>
          <w:szCs w:val="28"/>
        </w:rPr>
        <w:t>.</w:t>
      </w:r>
    </w:p>
    <w:p w14:paraId="666CC482" w14:textId="77777777" w:rsidR="005F3288" w:rsidRPr="00EB6BC8" w:rsidRDefault="005F3288" w:rsidP="00DD3E03">
      <w:pPr>
        <w:spacing w:after="0"/>
        <w:jc w:val="both"/>
        <w:rPr>
          <w:rFonts w:ascii="Times New Roman" w:hAnsi="Times New Roman" w:cs="Times New Roman"/>
          <w:b/>
          <w:bCs/>
          <w:sz w:val="28"/>
          <w:szCs w:val="28"/>
        </w:rPr>
      </w:pPr>
    </w:p>
    <w:p w14:paraId="75BB8C96" w14:textId="77777777" w:rsidR="00EA3F8D" w:rsidRDefault="00EA3F8D" w:rsidP="00EA3F8D">
      <w:pPr>
        <w:spacing w:after="0"/>
        <w:jc w:val="both"/>
        <w:rPr>
          <w:rFonts w:ascii="Times New Roman" w:hAnsi="Times New Roman" w:cs="Times New Roman"/>
          <w:b/>
          <w:bCs/>
          <w:i/>
          <w:iCs/>
          <w:sz w:val="28"/>
          <w:szCs w:val="28"/>
        </w:rPr>
      </w:pPr>
      <w:r w:rsidRPr="00035AC6">
        <w:rPr>
          <w:rFonts w:ascii="Times New Roman" w:hAnsi="Times New Roman" w:cs="Times New Roman"/>
          <w:b/>
          <w:bCs/>
          <w:iCs/>
          <w:sz w:val="28"/>
          <w:szCs w:val="28"/>
        </w:rPr>
        <w:t>UM/Off-road vehicles/Public Road</w:t>
      </w:r>
      <w:r w:rsidRPr="00035AC6">
        <w:rPr>
          <w:rFonts w:ascii="Times New Roman" w:hAnsi="Times New Roman" w:cs="Times New Roman"/>
          <w:b/>
          <w:bCs/>
          <w:i/>
          <w:iCs/>
          <w:sz w:val="28"/>
          <w:szCs w:val="28"/>
        </w:rPr>
        <w:t>-</w:t>
      </w:r>
      <w:r w:rsidR="00035AC6" w:rsidRPr="00035AC6">
        <w:rPr>
          <w:rFonts w:ascii="Times New Roman" w:hAnsi="Times New Roman" w:cs="Times New Roman"/>
          <w:b/>
          <w:bCs/>
          <w:i/>
          <w:iCs/>
          <w:sz w:val="28"/>
          <w:szCs w:val="28"/>
        </w:rPr>
        <w:t>Nationwide Prop. and Cas. Ins. Co. v. Steward, 2020 WL 5582243 (Ala. Sept. 18, 2020).</w:t>
      </w:r>
    </w:p>
    <w:p w14:paraId="370D3CC5" w14:textId="77777777" w:rsidR="008E26B9" w:rsidRPr="00EB6BC8" w:rsidRDefault="008E26B9" w:rsidP="00EA3F8D">
      <w:pPr>
        <w:spacing w:after="0"/>
        <w:jc w:val="both"/>
        <w:rPr>
          <w:rFonts w:ascii="Times New Roman" w:hAnsi="Times New Roman" w:cs="Times New Roman"/>
          <w:b/>
          <w:sz w:val="28"/>
          <w:szCs w:val="28"/>
        </w:rPr>
      </w:pPr>
    </w:p>
    <w:p w14:paraId="11E12929" w14:textId="77777777" w:rsidR="00581250" w:rsidRDefault="00EA3F8D" w:rsidP="00EA3F8D">
      <w:pPr>
        <w:spacing w:after="0"/>
        <w:jc w:val="both"/>
        <w:rPr>
          <w:rFonts w:ascii="Times New Roman" w:hAnsi="Times New Roman" w:cs="Times New Roman"/>
          <w:sz w:val="28"/>
          <w:szCs w:val="28"/>
        </w:rPr>
      </w:pPr>
      <w:r w:rsidRPr="00EB6BC8">
        <w:rPr>
          <w:rFonts w:ascii="Times New Roman" w:hAnsi="Times New Roman" w:cs="Times New Roman"/>
          <w:sz w:val="28"/>
          <w:szCs w:val="28"/>
        </w:rPr>
        <w:t xml:space="preserve">Top Trails Off-Highway Vehicle Park was owned and maintained by </w:t>
      </w:r>
      <w:r w:rsidR="00581250">
        <w:rPr>
          <w:rFonts w:ascii="Times New Roman" w:hAnsi="Times New Roman" w:cs="Times New Roman"/>
          <w:sz w:val="28"/>
          <w:szCs w:val="28"/>
        </w:rPr>
        <w:t xml:space="preserve">a </w:t>
      </w:r>
      <w:r w:rsidRPr="00EB6BC8">
        <w:rPr>
          <w:rFonts w:ascii="Times New Roman" w:hAnsi="Times New Roman" w:cs="Times New Roman"/>
          <w:sz w:val="28"/>
          <w:szCs w:val="28"/>
        </w:rPr>
        <w:t>public park authority. Visitors to Top Trails pa</w:t>
      </w:r>
      <w:r w:rsidR="00581250">
        <w:rPr>
          <w:rFonts w:ascii="Times New Roman" w:hAnsi="Times New Roman" w:cs="Times New Roman"/>
          <w:sz w:val="28"/>
          <w:szCs w:val="28"/>
        </w:rPr>
        <w:t>id</w:t>
      </w:r>
      <w:r w:rsidRPr="00EB6BC8">
        <w:rPr>
          <w:rFonts w:ascii="Times New Roman" w:hAnsi="Times New Roman" w:cs="Times New Roman"/>
          <w:sz w:val="28"/>
          <w:szCs w:val="28"/>
        </w:rPr>
        <w:t xml:space="preserve"> an admission fee and sign</w:t>
      </w:r>
      <w:r w:rsidR="00581250">
        <w:rPr>
          <w:rFonts w:ascii="Times New Roman" w:hAnsi="Times New Roman" w:cs="Times New Roman"/>
          <w:sz w:val="28"/>
          <w:szCs w:val="28"/>
        </w:rPr>
        <w:t>ed</w:t>
      </w:r>
      <w:r w:rsidRPr="00EB6BC8">
        <w:rPr>
          <w:rFonts w:ascii="Times New Roman" w:hAnsi="Times New Roman" w:cs="Times New Roman"/>
          <w:sz w:val="28"/>
          <w:szCs w:val="28"/>
        </w:rPr>
        <w:t xml:space="preserve"> a liability waiver. </w:t>
      </w:r>
      <w:r w:rsidRPr="00EB6BC8">
        <w:rPr>
          <w:rFonts w:ascii="Times New Roman" w:hAnsi="Times New Roman" w:cs="Times New Roman"/>
          <w:bCs/>
          <w:sz w:val="28"/>
          <w:szCs w:val="28"/>
        </w:rPr>
        <w:t xml:space="preserve">Two ATVs collided </w:t>
      </w:r>
      <w:r w:rsidRPr="00EB6BC8">
        <w:rPr>
          <w:rFonts w:ascii="Times New Roman" w:hAnsi="Times New Roman" w:cs="Times New Roman"/>
          <w:sz w:val="28"/>
          <w:szCs w:val="28"/>
        </w:rPr>
        <w:t>at the intersection of two paved roads within Top Trails. The Plaintiff sued his auto</w:t>
      </w:r>
      <w:r w:rsidRPr="00EB6BC8">
        <w:rPr>
          <w:rFonts w:ascii="Times New Roman" w:hAnsi="Times New Roman" w:cs="Times New Roman"/>
          <w:sz w:val="28"/>
          <w:szCs w:val="28"/>
        </w:rPr>
        <w:softHyphen/>
        <w:t xml:space="preserve">mobile insurer seeking UM benefits alleging </w:t>
      </w:r>
      <w:r w:rsidR="00581250">
        <w:rPr>
          <w:rFonts w:ascii="Times New Roman" w:hAnsi="Times New Roman" w:cs="Times New Roman"/>
          <w:sz w:val="28"/>
          <w:szCs w:val="28"/>
        </w:rPr>
        <w:t>the</w:t>
      </w:r>
      <w:r w:rsidRPr="00EB6BC8">
        <w:rPr>
          <w:rFonts w:ascii="Times New Roman" w:hAnsi="Times New Roman" w:cs="Times New Roman"/>
          <w:sz w:val="28"/>
          <w:szCs w:val="28"/>
        </w:rPr>
        <w:t xml:space="preserve"> other ATV involved in the collision was an uninsured motor vehicle. The UM carrier moved for summary judgment, al</w:t>
      </w:r>
      <w:r w:rsidRPr="00EB6BC8">
        <w:rPr>
          <w:rFonts w:ascii="Times New Roman" w:hAnsi="Times New Roman" w:cs="Times New Roman"/>
          <w:sz w:val="28"/>
          <w:szCs w:val="28"/>
        </w:rPr>
        <w:softHyphen/>
        <w:t xml:space="preserve">leging </w:t>
      </w:r>
      <w:r w:rsidR="00581250">
        <w:rPr>
          <w:rFonts w:ascii="Times New Roman" w:hAnsi="Times New Roman" w:cs="Times New Roman"/>
          <w:sz w:val="28"/>
          <w:szCs w:val="28"/>
        </w:rPr>
        <w:t>the</w:t>
      </w:r>
      <w:r w:rsidRPr="00EB6BC8">
        <w:rPr>
          <w:rFonts w:ascii="Times New Roman" w:hAnsi="Times New Roman" w:cs="Times New Roman"/>
          <w:sz w:val="28"/>
          <w:szCs w:val="28"/>
        </w:rPr>
        <w:t xml:space="preserve"> ATV was not an uninsured motor vehicle because the UM policy provided that “the term uninsured motor vehicle shall not include…any equipment or vehicle designed for use mainly off public roads except while on public roads.” The </w:t>
      </w:r>
      <w:r w:rsidR="00A219B4">
        <w:rPr>
          <w:rFonts w:ascii="Times New Roman" w:hAnsi="Times New Roman" w:cs="Times New Roman"/>
          <w:sz w:val="28"/>
          <w:szCs w:val="28"/>
        </w:rPr>
        <w:t>p</w:t>
      </w:r>
      <w:r w:rsidRPr="00EB6BC8">
        <w:rPr>
          <w:rFonts w:ascii="Times New Roman" w:hAnsi="Times New Roman" w:cs="Times New Roman"/>
          <w:sz w:val="28"/>
          <w:szCs w:val="28"/>
        </w:rPr>
        <w:t xml:space="preserve">laintiff filed a cross-motion for summary judgment. The trial court denied the UM carrier’s motion and granted the Plaintiff’s motion. </w:t>
      </w:r>
    </w:p>
    <w:p w14:paraId="05F4CA56" w14:textId="77777777" w:rsidR="00581250" w:rsidRDefault="00581250" w:rsidP="00581250">
      <w:pPr>
        <w:spacing w:after="0"/>
        <w:ind w:firstLine="720"/>
        <w:jc w:val="both"/>
        <w:rPr>
          <w:rFonts w:ascii="Times New Roman" w:hAnsi="Times New Roman" w:cs="Times New Roman"/>
          <w:sz w:val="28"/>
          <w:szCs w:val="28"/>
        </w:rPr>
      </w:pPr>
    </w:p>
    <w:p w14:paraId="1B0300D0" w14:textId="77777777" w:rsidR="00EA3F8D" w:rsidRPr="00EB6BC8" w:rsidRDefault="00EA3F8D" w:rsidP="00581250">
      <w:pPr>
        <w:spacing w:after="0"/>
        <w:ind w:firstLine="720"/>
        <w:jc w:val="both"/>
        <w:rPr>
          <w:rFonts w:ascii="Times New Roman" w:hAnsi="Times New Roman" w:cs="Times New Roman"/>
          <w:sz w:val="28"/>
          <w:szCs w:val="28"/>
        </w:rPr>
      </w:pPr>
      <w:r w:rsidRPr="00EB6BC8">
        <w:rPr>
          <w:rFonts w:ascii="Times New Roman" w:hAnsi="Times New Roman" w:cs="Times New Roman"/>
          <w:sz w:val="28"/>
          <w:szCs w:val="28"/>
        </w:rPr>
        <w:t xml:space="preserve">The UM carrier appealed. The Alabama Supreme Court held that the only dispute was whether the roads were public. The </w:t>
      </w:r>
      <w:r w:rsidR="00A219B4">
        <w:rPr>
          <w:rFonts w:ascii="Times New Roman" w:hAnsi="Times New Roman" w:cs="Times New Roman"/>
          <w:sz w:val="28"/>
          <w:szCs w:val="28"/>
        </w:rPr>
        <w:t>p</w:t>
      </w:r>
      <w:r w:rsidRPr="00EB6BC8">
        <w:rPr>
          <w:rFonts w:ascii="Times New Roman" w:hAnsi="Times New Roman" w:cs="Times New Roman"/>
          <w:sz w:val="28"/>
          <w:szCs w:val="28"/>
        </w:rPr>
        <w:t xml:space="preserve">laintiff argued the roads were public because the roads were publically owned, publically maintained using public funds and were open to the public. The UM carrier argued the roads were not public </w:t>
      </w:r>
      <w:r w:rsidRPr="00EB6BC8">
        <w:rPr>
          <w:rFonts w:ascii="Times New Roman" w:hAnsi="Times New Roman" w:cs="Times New Roman"/>
          <w:sz w:val="28"/>
          <w:szCs w:val="28"/>
        </w:rPr>
        <w:lastRenderedPageBreak/>
        <w:t>because the roads were not accessible to the pub</w:t>
      </w:r>
      <w:r w:rsidRPr="00EB6BC8">
        <w:rPr>
          <w:rFonts w:ascii="Times New Roman" w:hAnsi="Times New Roman" w:cs="Times New Roman"/>
          <w:sz w:val="28"/>
          <w:szCs w:val="28"/>
        </w:rPr>
        <w:softHyphen/>
        <w:t>lic without paying a fee and signing a waiver. The Court took judicial notice that fees are required to enter many public places such as state parks. The Court also noted the definition of a “public” in the dictionary is “maintained at the public expense and under public control.” The Court held the roads were public roads for the purpose of the UM policies and the ATV was an uninsured motor vehicle.</w:t>
      </w:r>
    </w:p>
    <w:p w14:paraId="5D42EE8C" w14:textId="77777777" w:rsidR="00EA3F8D" w:rsidRPr="00EB6BC8" w:rsidRDefault="00EA3F8D" w:rsidP="00EA3F8D">
      <w:pPr>
        <w:spacing w:after="0"/>
        <w:jc w:val="both"/>
        <w:rPr>
          <w:rFonts w:ascii="Times New Roman" w:hAnsi="Times New Roman" w:cs="Times New Roman"/>
          <w:sz w:val="28"/>
          <w:szCs w:val="28"/>
        </w:rPr>
      </w:pPr>
    </w:p>
    <w:p w14:paraId="6BC65988" w14:textId="77777777" w:rsidR="00035AC6" w:rsidRPr="00B76139" w:rsidRDefault="00035AC6" w:rsidP="00035AC6">
      <w:pPr>
        <w:spacing w:after="0"/>
        <w:jc w:val="both"/>
        <w:rPr>
          <w:rFonts w:ascii="Times New Roman" w:hAnsi="Times New Roman" w:cs="Times New Roman"/>
          <w:b/>
          <w:bCs/>
          <w:sz w:val="28"/>
          <w:szCs w:val="28"/>
        </w:rPr>
      </w:pPr>
      <w:r w:rsidRPr="00B76139">
        <w:rPr>
          <w:rFonts w:ascii="Times New Roman" w:hAnsi="Times New Roman" w:cs="Times New Roman"/>
          <w:b/>
          <w:bCs/>
          <w:sz w:val="28"/>
          <w:szCs w:val="28"/>
        </w:rPr>
        <w:t>UIM Stacking—</w:t>
      </w:r>
      <w:r w:rsidRPr="00B76139">
        <w:rPr>
          <w:rFonts w:ascii="Times New Roman" w:hAnsi="Times New Roman" w:cs="Times New Roman"/>
          <w:b/>
          <w:bCs/>
          <w:i/>
          <w:iCs/>
          <w:sz w:val="28"/>
          <w:szCs w:val="28"/>
        </w:rPr>
        <w:t xml:space="preserve"> Mid-Century Ins. Co. v. Watts</w:t>
      </w:r>
      <w:r w:rsidRPr="00B76139">
        <w:rPr>
          <w:rFonts w:ascii="Times New Roman" w:hAnsi="Times New Roman" w:cs="Times New Roman"/>
          <w:b/>
          <w:bCs/>
          <w:sz w:val="28"/>
          <w:szCs w:val="28"/>
        </w:rPr>
        <w:t>,</w:t>
      </w:r>
      <w:r>
        <w:rPr>
          <w:rFonts w:ascii="Times New Roman" w:hAnsi="Times New Roman" w:cs="Times New Roman"/>
          <w:b/>
          <w:bCs/>
          <w:sz w:val="28"/>
          <w:szCs w:val="28"/>
        </w:rPr>
        <w:t xml:space="preserve"> 2020 WL 5582244 (Ala. Sept. 18, 2020).</w:t>
      </w:r>
    </w:p>
    <w:p w14:paraId="3365AD18" w14:textId="77777777" w:rsidR="00A15DA3" w:rsidRPr="00EB6BC8" w:rsidRDefault="00A15DA3" w:rsidP="00A15DA3">
      <w:pPr>
        <w:spacing w:after="0"/>
        <w:jc w:val="both"/>
        <w:rPr>
          <w:rFonts w:ascii="Times New Roman" w:hAnsi="Times New Roman" w:cs="Times New Roman"/>
          <w:sz w:val="28"/>
          <w:szCs w:val="28"/>
        </w:rPr>
      </w:pPr>
    </w:p>
    <w:p w14:paraId="5EAE40C4" w14:textId="77777777" w:rsidR="00A15DA3" w:rsidRPr="00EB6BC8" w:rsidRDefault="00A15DA3" w:rsidP="00A15DA3">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Alabama Supreme Court concluded that in cases where two or more persons are injured or killed in a sin</w:t>
      </w:r>
      <w:r w:rsidRPr="00EB6BC8">
        <w:rPr>
          <w:rFonts w:ascii="Times New Roman" w:hAnsi="Times New Roman" w:cs="Times New Roman"/>
          <w:sz w:val="28"/>
          <w:szCs w:val="28"/>
        </w:rPr>
        <w:softHyphen/>
        <w:t>gle accident, the per accident limit of liability contained in the policy is the proper coverage limit to be applied. The policy at issue contained a per accident limit of cov</w:t>
      </w:r>
      <w:r w:rsidRPr="00EB6BC8">
        <w:rPr>
          <w:rFonts w:ascii="Times New Roman" w:hAnsi="Times New Roman" w:cs="Times New Roman"/>
          <w:sz w:val="28"/>
          <w:szCs w:val="28"/>
        </w:rPr>
        <w:softHyphen/>
        <w:t>erage pursuant to state statutes. Since the accident involved “two or more persons,” the per accident limit of $100,000 was applicable. Section 32-7-23(c) of the uninsured-motorist statute and § 2a.(2) of the in</w:t>
      </w:r>
      <w:r w:rsidRPr="00EB6BC8">
        <w:rPr>
          <w:rFonts w:ascii="Times New Roman" w:hAnsi="Times New Roman" w:cs="Times New Roman"/>
          <w:sz w:val="28"/>
          <w:szCs w:val="28"/>
        </w:rPr>
        <w:softHyphen/>
        <w:t>surance policy allow the Watts plaintiffs to “stack” the primary coverage of $100,000 for up to two additional coverages, or a total amount of $300,000 in UIM bene</w:t>
      </w:r>
      <w:r w:rsidRPr="00EB6BC8">
        <w:rPr>
          <w:rFonts w:ascii="Times New Roman" w:hAnsi="Times New Roman" w:cs="Times New Roman"/>
          <w:sz w:val="28"/>
          <w:szCs w:val="28"/>
        </w:rPr>
        <w:softHyphen/>
        <w:t>fits. The Plaintiffs could not stack more than three coverages under the UIM statute and the insurance policy.</w:t>
      </w:r>
    </w:p>
    <w:p w14:paraId="5DF7913E" w14:textId="77777777" w:rsidR="00A15DA3" w:rsidRPr="00EB6BC8" w:rsidRDefault="00A15DA3" w:rsidP="00EA3F8D">
      <w:pPr>
        <w:spacing w:after="0"/>
        <w:jc w:val="both"/>
        <w:rPr>
          <w:rFonts w:ascii="Times New Roman" w:hAnsi="Times New Roman" w:cs="Times New Roman"/>
          <w:sz w:val="28"/>
          <w:szCs w:val="28"/>
        </w:rPr>
      </w:pPr>
    </w:p>
    <w:p w14:paraId="7D8BE2E4" w14:textId="77777777" w:rsidR="00EB6BC8" w:rsidRPr="00EB6BC8" w:rsidRDefault="00EB6BC8" w:rsidP="00EB6BC8">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Discovery</w:t>
      </w:r>
      <w:r w:rsidRPr="00EB6BC8">
        <w:rPr>
          <w:rFonts w:ascii="Times New Roman" w:hAnsi="Times New Roman" w:cs="Times New Roman"/>
          <w:b/>
          <w:bCs/>
          <w:i/>
          <w:iCs/>
          <w:sz w:val="28"/>
          <w:szCs w:val="28"/>
        </w:rPr>
        <w:t xml:space="preserve">—Ex </w:t>
      </w:r>
      <w:proofErr w:type="spellStart"/>
      <w:r w:rsidRPr="00EB6BC8">
        <w:rPr>
          <w:rFonts w:ascii="Times New Roman" w:hAnsi="Times New Roman" w:cs="Times New Roman"/>
          <w:b/>
          <w:bCs/>
          <w:i/>
          <w:iCs/>
          <w:sz w:val="28"/>
          <w:szCs w:val="28"/>
        </w:rPr>
        <w:t>parte</w:t>
      </w:r>
      <w:proofErr w:type="spellEnd"/>
      <w:r w:rsidRPr="00EB6BC8">
        <w:rPr>
          <w:rFonts w:ascii="Times New Roman" w:hAnsi="Times New Roman" w:cs="Times New Roman"/>
          <w:b/>
          <w:bCs/>
          <w:i/>
          <w:iCs/>
          <w:sz w:val="28"/>
          <w:szCs w:val="28"/>
        </w:rPr>
        <w:t xml:space="preserve"> </w:t>
      </w:r>
      <w:proofErr w:type="spellStart"/>
      <w:r w:rsidRPr="00EB6BC8">
        <w:rPr>
          <w:rFonts w:ascii="Times New Roman" w:hAnsi="Times New Roman" w:cs="Times New Roman"/>
          <w:b/>
          <w:bCs/>
          <w:i/>
          <w:iCs/>
          <w:sz w:val="28"/>
          <w:szCs w:val="28"/>
        </w:rPr>
        <w:t>Willimon</w:t>
      </w:r>
      <w:proofErr w:type="spellEnd"/>
      <w:r w:rsidRPr="00EB6BC8">
        <w:rPr>
          <w:rFonts w:ascii="Times New Roman" w:hAnsi="Times New Roman" w:cs="Times New Roman"/>
          <w:b/>
          <w:bCs/>
          <w:sz w:val="28"/>
          <w:szCs w:val="28"/>
        </w:rPr>
        <w:t xml:space="preserve">, 299 So. 3d 934 (Ala. 2020) </w:t>
      </w:r>
    </w:p>
    <w:p w14:paraId="7A8C5031" w14:textId="77777777" w:rsidR="00EB6BC8" w:rsidRPr="00EB6BC8" w:rsidRDefault="00EB6BC8" w:rsidP="00EB6BC8">
      <w:pPr>
        <w:spacing w:after="0"/>
        <w:jc w:val="both"/>
        <w:rPr>
          <w:rFonts w:ascii="Times New Roman" w:hAnsi="Times New Roman" w:cs="Times New Roman"/>
          <w:sz w:val="28"/>
          <w:szCs w:val="28"/>
        </w:rPr>
      </w:pPr>
    </w:p>
    <w:p w14:paraId="73ED624E" w14:textId="77777777" w:rsidR="00EB6BC8" w:rsidRPr="00EB6BC8" w:rsidRDefault="00EB6BC8" w:rsidP="00EB6BC8">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The plaintiff, J.N., was a male congregant in the First United Methodist Church of Sylacauga. J.N. filed a lawsuit alleging that a minister had sexually abused him. </w:t>
      </w:r>
    </w:p>
    <w:p w14:paraId="74E149F0" w14:textId="77777777" w:rsidR="00EB6BC8" w:rsidRPr="00EB6BC8" w:rsidRDefault="00EB6BC8" w:rsidP="00EB6BC8">
      <w:pPr>
        <w:spacing w:after="0"/>
        <w:jc w:val="both"/>
        <w:rPr>
          <w:rFonts w:ascii="Times New Roman" w:hAnsi="Times New Roman" w:cs="Times New Roman"/>
          <w:sz w:val="28"/>
          <w:szCs w:val="28"/>
        </w:rPr>
      </w:pPr>
    </w:p>
    <w:p w14:paraId="01DE62EB" w14:textId="77777777" w:rsidR="00EB6BC8" w:rsidRPr="00EB6BC8" w:rsidRDefault="00EB6BC8" w:rsidP="00EB6BC8">
      <w:pPr>
        <w:spacing w:after="0"/>
        <w:jc w:val="both"/>
        <w:rPr>
          <w:rFonts w:ascii="Times New Roman" w:hAnsi="Times New Roman" w:cs="Times New Roman"/>
          <w:b/>
          <w:bCs/>
          <w:sz w:val="28"/>
          <w:szCs w:val="28"/>
        </w:rPr>
      </w:pPr>
      <w:r w:rsidRPr="00EB6BC8">
        <w:rPr>
          <w:rFonts w:ascii="Times New Roman" w:hAnsi="Times New Roman" w:cs="Times New Roman"/>
          <w:sz w:val="28"/>
          <w:szCs w:val="28"/>
        </w:rPr>
        <w:tab/>
        <w:t xml:space="preserve">J.N. issued notices of deposition for the current and former bishops of the North Alabama Methodist Conference. The bishops moved to quash the notices. The circuit court denied the motions without comment. The bishops petitioned the Supreme Court for a writ of mandamus. </w:t>
      </w:r>
    </w:p>
    <w:p w14:paraId="4B85860C" w14:textId="77777777" w:rsidR="00EB6BC8" w:rsidRPr="00EB6BC8" w:rsidRDefault="00EB6BC8" w:rsidP="00EB6BC8">
      <w:pPr>
        <w:spacing w:after="0"/>
        <w:jc w:val="both"/>
        <w:rPr>
          <w:rFonts w:ascii="Times New Roman" w:hAnsi="Times New Roman" w:cs="Times New Roman"/>
          <w:b/>
          <w:bCs/>
          <w:sz w:val="28"/>
          <w:szCs w:val="28"/>
        </w:rPr>
      </w:pPr>
    </w:p>
    <w:p w14:paraId="5C744870" w14:textId="77777777" w:rsidR="00EB6BC8" w:rsidRPr="00EB6BC8" w:rsidRDefault="00EB6BC8" w:rsidP="00EB6BC8">
      <w:pPr>
        <w:spacing w:after="0"/>
        <w:jc w:val="both"/>
        <w:rPr>
          <w:rFonts w:ascii="Times New Roman" w:hAnsi="Times New Roman" w:cs="Times New Roman"/>
          <w:sz w:val="28"/>
          <w:szCs w:val="28"/>
        </w:rPr>
      </w:pPr>
      <w:r w:rsidRPr="00EB6BC8">
        <w:rPr>
          <w:rFonts w:ascii="Times New Roman" w:hAnsi="Times New Roman" w:cs="Times New Roman"/>
          <w:bCs/>
          <w:sz w:val="28"/>
          <w:szCs w:val="28"/>
        </w:rPr>
        <w:tab/>
        <w:t xml:space="preserve">The Alabama Supreme Court denied the bishops' petition for writ of mandamus. </w:t>
      </w:r>
      <w:r w:rsidRPr="00EB6BC8">
        <w:rPr>
          <w:rFonts w:ascii="Times New Roman" w:hAnsi="Times New Roman" w:cs="Times New Roman"/>
          <w:sz w:val="28"/>
          <w:szCs w:val="28"/>
        </w:rPr>
        <w:t xml:space="preserve">The Court refused to adopt the “Apex” rule, which protects high ranking corporate or government officers from depositions in matters which the officers have no unique personal knowledge. The Court held that even the apex rule would not protect the bishops. The trial court could have reasonably concluded that the bishops </w:t>
      </w:r>
      <w:r w:rsidRPr="00EB6BC8">
        <w:rPr>
          <w:rFonts w:ascii="Times New Roman" w:hAnsi="Times New Roman" w:cs="Times New Roman"/>
          <w:sz w:val="28"/>
          <w:szCs w:val="28"/>
        </w:rPr>
        <w:lastRenderedPageBreak/>
        <w:t xml:space="preserve">had superior personal knowledge regarding the handling of Conference matters, including child-sex abuse policies, procedures, and training. </w:t>
      </w:r>
    </w:p>
    <w:p w14:paraId="740BC581" w14:textId="77777777" w:rsidR="00F333FE" w:rsidRPr="00EB6BC8" w:rsidRDefault="00F333FE" w:rsidP="00CF6185">
      <w:pPr>
        <w:spacing w:after="0"/>
        <w:jc w:val="both"/>
        <w:rPr>
          <w:rFonts w:ascii="Times New Roman" w:hAnsi="Times New Roman" w:cs="Times New Roman"/>
          <w:b/>
          <w:bCs/>
          <w:i/>
          <w:iCs/>
          <w:sz w:val="28"/>
          <w:szCs w:val="28"/>
        </w:rPr>
      </w:pPr>
    </w:p>
    <w:p w14:paraId="02A4D762"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b/>
          <w:bCs/>
          <w:sz w:val="28"/>
          <w:szCs w:val="28"/>
        </w:rPr>
        <w:t>S</w:t>
      </w:r>
      <w:r w:rsidRPr="00EB6BC8">
        <w:rPr>
          <w:rFonts w:ascii="Times New Roman" w:hAnsi="Times New Roman" w:cs="Times New Roman"/>
          <w:b/>
          <w:bCs/>
          <w:iCs/>
          <w:sz w:val="28"/>
          <w:szCs w:val="28"/>
        </w:rPr>
        <w:t>poliation/Punitive Damages—</w:t>
      </w:r>
      <w:r w:rsidRPr="00EB6BC8">
        <w:rPr>
          <w:rFonts w:ascii="Times New Roman" w:hAnsi="Times New Roman" w:cs="Times New Roman"/>
          <w:b/>
          <w:bCs/>
          <w:i/>
          <w:iCs/>
          <w:sz w:val="28"/>
          <w:szCs w:val="28"/>
        </w:rPr>
        <w:t>Imperial Aluminum-Scottsboro, LLC v. Taylor</w:t>
      </w:r>
      <w:r w:rsidRPr="00EB6BC8">
        <w:rPr>
          <w:rFonts w:ascii="Times New Roman" w:hAnsi="Times New Roman" w:cs="Times New Roman"/>
          <w:b/>
          <w:bCs/>
          <w:sz w:val="28"/>
          <w:szCs w:val="28"/>
        </w:rPr>
        <w:t xml:space="preserve">, 295 So. 3d 51 (Ala. 2019) </w:t>
      </w:r>
    </w:p>
    <w:p w14:paraId="08E78546" w14:textId="77777777" w:rsidR="00DC2187" w:rsidRPr="00EB6BC8" w:rsidRDefault="00DC2187" w:rsidP="00DC2187">
      <w:pPr>
        <w:spacing w:after="0"/>
        <w:jc w:val="both"/>
        <w:rPr>
          <w:rFonts w:ascii="Times New Roman" w:hAnsi="Times New Roman" w:cs="Times New Roman"/>
          <w:sz w:val="28"/>
          <w:szCs w:val="28"/>
        </w:rPr>
      </w:pPr>
    </w:p>
    <w:p w14:paraId="34F08A87"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On January 3, 2011, the </w:t>
      </w:r>
      <w:r w:rsidR="00A219B4">
        <w:rPr>
          <w:rFonts w:ascii="Times New Roman" w:hAnsi="Times New Roman" w:cs="Times New Roman"/>
          <w:sz w:val="28"/>
          <w:szCs w:val="28"/>
        </w:rPr>
        <w:t>p</w:t>
      </w:r>
      <w:r w:rsidRPr="00EB6BC8">
        <w:rPr>
          <w:rFonts w:ascii="Times New Roman" w:hAnsi="Times New Roman" w:cs="Times New Roman"/>
          <w:sz w:val="28"/>
          <w:szCs w:val="28"/>
        </w:rPr>
        <w:t xml:space="preserve">laintiff's attorney sent the </w:t>
      </w:r>
      <w:r w:rsidR="00A219B4">
        <w:rPr>
          <w:rFonts w:ascii="Times New Roman" w:hAnsi="Times New Roman" w:cs="Times New Roman"/>
          <w:sz w:val="28"/>
          <w:szCs w:val="28"/>
        </w:rPr>
        <w:t>p</w:t>
      </w:r>
      <w:r w:rsidRPr="00EB6BC8">
        <w:rPr>
          <w:rFonts w:ascii="Times New Roman" w:hAnsi="Times New Roman" w:cs="Times New Roman"/>
          <w:sz w:val="28"/>
          <w:szCs w:val="28"/>
        </w:rPr>
        <w:t xml:space="preserve">laintiff's employer a letter stating that he planned to inspect the paint gun that allegedly caused the </w:t>
      </w:r>
      <w:r w:rsidR="00A219B4">
        <w:rPr>
          <w:rFonts w:ascii="Times New Roman" w:hAnsi="Times New Roman" w:cs="Times New Roman"/>
          <w:sz w:val="28"/>
          <w:szCs w:val="28"/>
        </w:rPr>
        <w:t>p</w:t>
      </w:r>
      <w:r w:rsidRPr="00EB6BC8">
        <w:rPr>
          <w:rFonts w:ascii="Times New Roman" w:hAnsi="Times New Roman" w:cs="Times New Roman"/>
          <w:sz w:val="28"/>
          <w:szCs w:val="28"/>
        </w:rPr>
        <w:t xml:space="preserve">laintiff's injuries and that the employer needed to preserve it. The employer's general manager instructed another employee to put the sprayer up. The </w:t>
      </w:r>
      <w:r w:rsidR="00A219B4">
        <w:rPr>
          <w:rFonts w:ascii="Times New Roman" w:hAnsi="Times New Roman" w:cs="Times New Roman"/>
          <w:sz w:val="28"/>
          <w:szCs w:val="28"/>
        </w:rPr>
        <w:t>p</w:t>
      </w:r>
      <w:r w:rsidRPr="00EB6BC8">
        <w:rPr>
          <w:rFonts w:ascii="Times New Roman" w:hAnsi="Times New Roman" w:cs="Times New Roman"/>
          <w:sz w:val="28"/>
          <w:szCs w:val="28"/>
        </w:rPr>
        <w:t>laintiff filed a prod</w:t>
      </w:r>
      <w:r w:rsidRPr="00EB6BC8">
        <w:rPr>
          <w:rFonts w:ascii="Times New Roman" w:hAnsi="Times New Roman" w:cs="Times New Roman"/>
          <w:sz w:val="28"/>
          <w:szCs w:val="28"/>
        </w:rPr>
        <w:softHyphen/>
        <w:t xml:space="preserve">ucts liability complaint against the manufacturer of the paint sprayer. In January 2013, an attorney for the </w:t>
      </w:r>
      <w:r w:rsidR="00A219B4">
        <w:rPr>
          <w:rFonts w:ascii="Times New Roman" w:hAnsi="Times New Roman" w:cs="Times New Roman"/>
          <w:sz w:val="28"/>
          <w:szCs w:val="28"/>
        </w:rPr>
        <w:t>p</w:t>
      </w:r>
      <w:r w:rsidRPr="00EB6BC8">
        <w:rPr>
          <w:rFonts w:ascii="Times New Roman" w:hAnsi="Times New Roman" w:cs="Times New Roman"/>
          <w:sz w:val="28"/>
          <w:szCs w:val="28"/>
        </w:rPr>
        <w:t>lai</w:t>
      </w:r>
      <w:r w:rsidR="00A219B4">
        <w:rPr>
          <w:rFonts w:ascii="Times New Roman" w:hAnsi="Times New Roman" w:cs="Times New Roman"/>
          <w:sz w:val="28"/>
          <w:szCs w:val="28"/>
        </w:rPr>
        <w:t>ntiff's employer wrote the p</w:t>
      </w:r>
      <w:r w:rsidRPr="00EB6BC8">
        <w:rPr>
          <w:rFonts w:ascii="Times New Roman" w:hAnsi="Times New Roman" w:cs="Times New Roman"/>
          <w:sz w:val="28"/>
          <w:szCs w:val="28"/>
        </w:rPr>
        <w:t xml:space="preserve">laintiff's attorney stating the sprayer in question had been disposed of. The </w:t>
      </w:r>
      <w:r w:rsidR="00A219B4">
        <w:rPr>
          <w:rFonts w:ascii="Times New Roman" w:hAnsi="Times New Roman" w:cs="Times New Roman"/>
          <w:sz w:val="28"/>
          <w:szCs w:val="28"/>
        </w:rPr>
        <w:t>p</w:t>
      </w:r>
      <w:r w:rsidRPr="00EB6BC8">
        <w:rPr>
          <w:rFonts w:ascii="Times New Roman" w:hAnsi="Times New Roman" w:cs="Times New Roman"/>
          <w:sz w:val="28"/>
          <w:szCs w:val="28"/>
        </w:rPr>
        <w:t xml:space="preserve">laintiff filed suit against the </w:t>
      </w:r>
      <w:r w:rsidR="00A219B4">
        <w:rPr>
          <w:rFonts w:ascii="Times New Roman" w:hAnsi="Times New Roman" w:cs="Times New Roman"/>
          <w:sz w:val="28"/>
          <w:szCs w:val="28"/>
        </w:rPr>
        <w:t>p</w:t>
      </w:r>
      <w:r w:rsidRPr="00EB6BC8">
        <w:rPr>
          <w:rFonts w:ascii="Times New Roman" w:hAnsi="Times New Roman" w:cs="Times New Roman"/>
          <w:sz w:val="28"/>
          <w:szCs w:val="28"/>
        </w:rPr>
        <w:t>laintiff's employer asserting a third-party spoliation of evidence claim. A bench trial was conducted, and empl</w:t>
      </w:r>
      <w:r w:rsidR="00A219B4">
        <w:rPr>
          <w:rFonts w:ascii="Times New Roman" w:hAnsi="Times New Roman" w:cs="Times New Roman"/>
          <w:sz w:val="28"/>
          <w:szCs w:val="28"/>
        </w:rPr>
        <w:t xml:space="preserve">oyees testified </w:t>
      </w:r>
      <w:r w:rsidRPr="00EB6BC8">
        <w:rPr>
          <w:rFonts w:ascii="Times New Roman" w:hAnsi="Times New Roman" w:cs="Times New Roman"/>
          <w:sz w:val="28"/>
          <w:szCs w:val="28"/>
        </w:rPr>
        <w:t xml:space="preserve">the sprayer was put up, but that it was not secured where others could not access it. The trial court concluded Imperial lost, destroyed or disposed of the paint sprayer when it knew that to do so would likely destroy the </w:t>
      </w:r>
      <w:r w:rsidR="00513629">
        <w:rPr>
          <w:rFonts w:ascii="Times New Roman" w:hAnsi="Times New Roman" w:cs="Times New Roman"/>
          <w:sz w:val="28"/>
          <w:szCs w:val="28"/>
        </w:rPr>
        <w:t>p</w:t>
      </w:r>
      <w:r w:rsidRPr="00EB6BC8">
        <w:rPr>
          <w:rFonts w:ascii="Times New Roman" w:hAnsi="Times New Roman" w:cs="Times New Roman"/>
          <w:sz w:val="28"/>
          <w:szCs w:val="28"/>
        </w:rPr>
        <w:t>laintiff’s ability to seek le</w:t>
      </w:r>
      <w:r w:rsidRPr="00EB6BC8">
        <w:rPr>
          <w:rFonts w:ascii="Times New Roman" w:hAnsi="Times New Roman" w:cs="Times New Roman"/>
          <w:sz w:val="28"/>
          <w:szCs w:val="28"/>
        </w:rPr>
        <w:softHyphen/>
        <w:t xml:space="preserve">gal redress against its manufacturer. The trial court awarded the </w:t>
      </w:r>
      <w:r w:rsidR="00513629">
        <w:rPr>
          <w:rFonts w:ascii="Times New Roman" w:hAnsi="Times New Roman" w:cs="Times New Roman"/>
          <w:sz w:val="28"/>
          <w:szCs w:val="28"/>
        </w:rPr>
        <w:t>p</w:t>
      </w:r>
      <w:r w:rsidRPr="00EB6BC8">
        <w:rPr>
          <w:rFonts w:ascii="Times New Roman" w:hAnsi="Times New Roman" w:cs="Times New Roman"/>
          <w:sz w:val="28"/>
          <w:szCs w:val="28"/>
        </w:rPr>
        <w:t xml:space="preserve">laintiff compensatory and punitive damages. </w:t>
      </w:r>
    </w:p>
    <w:p w14:paraId="0AFF1B14" w14:textId="77777777" w:rsidR="00DC2187" w:rsidRPr="00EB6BC8" w:rsidRDefault="00DC2187" w:rsidP="00DC2187">
      <w:pPr>
        <w:spacing w:after="0"/>
        <w:jc w:val="both"/>
        <w:rPr>
          <w:rFonts w:ascii="Times New Roman" w:hAnsi="Times New Roman" w:cs="Times New Roman"/>
          <w:sz w:val="28"/>
          <w:szCs w:val="28"/>
        </w:rPr>
      </w:pPr>
    </w:p>
    <w:p w14:paraId="77BE81C7"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 xml:space="preserve">On appeal the Alabama Supreme Court held punitive damages were not warranted. Evidence that Imperial did not securely store the paint sprayer supported a finding that it acted negligently, but the trial court’s finding that Imperial engaged in wanton conduct was not supported by the record. </w:t>
      </w:r>
    </w:p>
    <w:p w14:paraId="628597A1" w14:textId="77777777" w:rsidR="00DC2187" w:rsidRPr="00EB6BC8" w:rsidRDefault="00DC2187" w:rsidP="0040685D">
      <w:pPr>
        <w:spacing w:after="0"/>
        <w:rPr>
          <w:rFonts w:ascii="Times New Roman" w:hAnsi="Times New Roman" w:cs="Times New Roman"/>
          <w:b/>
          <w:bCs/>
          <w:iCs/>
          <w:sz w:val="28"/>
          <w:szCs w:val="28"/>
        </w:rPr>
      </w:pPr>
    </w:p>
    <w:p w14:paraId="3A16E61D" w14:textId="77777777" w:rsidR="00035AC6" w:rsidRPr="00B76139" w:rsidRDefault="00035AC6" w:rsidP="00035AC6">
      <w:pPr>
        <w:spacing w:after="0"/>
        <w:jc w:val="both"/>
        <w:rPr>
          <w:rFonts w:ascii="Times New Roman" w:hAnsi="Times New Roman" w:cs="Times New Roman"/>
          <w:b/>
          <w:bCs/>
          <w:sz w:val="28"/>
          <w:szCs w:val="28"/>
        </w:rPr>
      </w:pPr>
      <w:r w:rsidRPr="00B76139">
        <w:rPr>
          <w:rFonts w:ascii="Times New Roman" w:hAnsi="Times New Roman" w:cs="Times New Roman"/>
          <w:b/>
          <w:bCs/>
          <w:iCs/>
          <w:sz w:val="28"/>
          <w:szCs w:val="28"/>
        </w:rPr>
        <w:t>Entry of Order/Judgment—</w:t>
      </w:r>
      <w:r w:rsidRPr="00B76139">
        <w:rPr>
          <w:rFonts w:ascii="Times New Roman" w:hAnsi="Times New Roman" w:cs="Times New Roman"/>
          <w:b/>
          <w:bCs/>
          <w:i/>
          <w:iCs/>
          <w:sz w:val="28"/>
          <w:szCs w:val="28"/>
        </w:rPr>
        <w:t xml:space="preserve">G.C. v. Baldwin </w:t>
      </w:r>
      <w:proofErr w:type="spellStart"/>
      <w:r w:rsidRPr="00B76139">
        <w:rPr>
          <w:rFonts w:ascii="Times New Roman" w:hAnsi="Times New Roman" w:cs="Times New Roman"/>
          <w:b/>
          <w:bCs/>
          <w:i/>
          <w:iCs/>
          <w:sz w:val="28"/>
          <w:szCs w:val="28"/>
        </w:rPr>
        <w:t>Cnty</w:t>
      </w:r>
      <w:proofErr w:type="spellEnd"/>
      <w:r w:rsidRPr="00B76139">
        <w:rPr>
          <w:rFonts w:ascii="Times New Roman" w:hAnsi="Times New Roman" w:cs="Times New Roman"/>
          <w:b/>
          <w:bCs/>
          <w:i/>
          <w:iCs/>
          <w:sz w:val="28"/>
          <w:szCs w:val="28"/>
        </w:rPr>
        <w:t>. Dept. of Hum. Res.</w:t>
      </w:r>
      <w:r w:rsidRPr="00B76139">
        <w:rPr>
          <w:rFonts w:ascii="Times New Roman" w:hAnsi="Times New Roman" w:cs="Times New Roman"/>
          <w:b/>
          <w:bCs/>
          <w:sz w:val="28"/>
          <w:szCs w:val="28"/>
        </w:rPr>
        <w:t>,</w:t>
      </w:r>
      <w:r>
        <w:rPr>
          <w:rFonts w:ascii="Times New Roman" w:hAnsi="Times New Roman" w:cs="Times New Roman"/>
          <w:b/>
          <w:bCs/>
          <w:sz w:val="28"/>
          <w:szCs w:val="28"/>
        </w:rPr>
        <w:t xml:space="preserve"> 2020 WL 6106917 (Ala. Civ. App. Oct. 16, 2020).</w:t>
      </w:r>
    </w:p>
    <w:p w14:paraId="1B86AC39" w14:textId="77777777" w:rsidR="00EB6BC8" w:rsidRPr="00EB6BC8" w:rsidRDefault="00EB6BC8" w:rsidP="00EB6BC8">
      <w:pPr>
        <w:spacing w:after="0"/>
        <w:jc w:val="both"/>
        <w:rPr>
          <w:rFonts w:ascii="Times New Roman" w:hAnsi="Times New Roman" w:cs="Times New Roman"/>
          <w:bCs/>
          <w:i/>
          <w:iCs/>
          <w:sz w:val="28"/>
          <w:szCs w:val="28"/>
        </w:rPr>
      </w:pPr>
    </w:p>
    <w:p w14:paraId="1889B757" w14:textId="77777777" w:rsidR="00EB6BC8" w:rsidRPr="00EB6BC8" w:rsidRDefault="00EB6BC8" w:rsidP="00EB6BC8">
      <w:pPr>
        <w:spacing w:after="0"/>
        <w:jc w:val="both"/>
        <w:rPr>
          <w:rFonts w:ascii="Times New Roman" w:hAnsi="Times New Roman" w:cs="Times New Roman"/>
          <w:sz w:val="28"/>
          <w:szCs w:val="28"/>
        </w:rPr>
      </w:pPr>
      <w:r w:rsidRPr="00EB6BC8">
        <w:rPr>
          <w:rFonts w:ascii="Times New Roman" w:hAnsi="Times New Roman" w:cs="Times New Roman"/>
          <w:sz w:val="28"/>
          <w:szCs w:val="28"/>
        </w:rPr>
        <w:tab/>
        <w:t>Ala. R. Civ. P. 58 provides five methods by which a court may render an order or judgment which include: (a) executing a separate written document; (b) including the order in a judicial opinion; (c) endorsing upon a motion the words “granted.” (d) making a notation in the court records or (e) by execut</w:t>
      </w:r>
      <w:r w:rsidRPr="00EB6BC8">
        <w:rPr>
          <w:rFonts w:ascii="Times New Roman" w:hAnsi="Times New Roman" w:cs="Times New Roman"/>
          <w:sz w:val="28"/>
          <w:szCs w:val="28"/>
        </w:rPr>
        <w:softHyphen/>
        <w:t>ing and transmitting an electronic document to the elec</w:t>
      </w:r>
      <w:r w:rsidRPr="00EB6BC8">
        <w:rPr>
          <w:rFonts w:ascii="Times New Roman" w:hAnsi="Times New Roman" w:cs="Times New Roman"/>
          <w:sz w:val="28"/>
          <w:szCs w:val="28"/>
        </w:rPr>
        <w:softHyphen/>
        <w:t>tronic-filing system. An oral pronouncement of a ruling does not constitute a “rendering” of an order under Rule 58.</w:t>
      </w:r>
    </w:p>
    <w:p w14:paraId="764B33A8" w14:textId="77777777" w:rsidR="00EB6BC8" w:rsidRPr="00EB6BC8" w:rsidRDefault="00EB6BC8" w:rsidP="0040685D">
      <w:pPr>
        <w:spacing w:after="0"/>
        <w:rPr>
          <w:rFonts w:ascii="Times New Roman" w:hAnsi="Times New Roman" w:cs="Times New Roman"/>
          <w:b/>
          <w:bCs/>
          <w:iCs/>
          <w:sz w:val="28"/>
          <w:szCs w:val="28"/>
        </w:rPr>
      </w:pPr>
    </w:p>
    <w:p w14:paraId="3E09B6EE" w14:textId="77777777" w:rsidR="00DC2187" w:rsidRPr="00EB6BC8" w:rsidRDefault="00DC2187" w:rsidP="00DC2187">
      <w:pPr>
        <w:spacing w:after="0"/>
        <w:jc w:val="both"/>
        <w:rPr>
          <w:rFonts w:ascii="Times New Roman" w:hAnsi="Times New Roman" w:cs="Times New Roman"/>
          <w:b/>
          <w:bCs/>
          <w:i/>
          <w:iCs/>
          <w:sz w:val="28"/>
          <w:szCs w:val="28"/>
        </w:rPr>
      </w:pPr>
      <w:r w:rsidRPr="00EB6BC8">
        <w:rPr>
          <w:rFonts w:ascii="Times New Roman" w:hAnsi="Times New Roman" w:cs="Times New Roman"/>
          <w:b/>
          <w:bCs/>
          <w:iCs/>
          <w:sz w:val="28"/>
          <w:szCs w:val="28"/>
        </w:rPr>
        <w:t>Sufficiency of Verdict—</w:t>
      </w:r>
      <w:r w:rsidRPr="00EB6BC8">
        <w:rPr>
          <w:rFonts w:ascii="Times New Roman" w:hAnsi="Times New Roman" w:cs="Times New Roman"/>
          <w:b/>
          <w:bCs/>
          <w:i/>
          <w:iCs/>
          <w:sz w:val="28"/>
          <w:szCs w:val="28"/>
        </w:rPr>
        <w:t>Bell v. Moore</w:t>
      </w:r>
      <w:r w:rsidRPr="00EB6BC8">
        <w:rPr>
          <w:rFonts w:ascii="Times New Roman" w:hAnsi="Times New Roman" w:cs="Times New Roman"/>
          <w:b/>
          <w:bCs/>
          <w:sz w:val="28"/>
          <w:szCs w:val="28"/>
        </w:rPr>
        <w:t xml:space="preserve">, 295 So. 3d 705 (Ala. Civ. App. 2019) </w:t>
      </w:r>
    </w:p>
    <w:p w14:paraId="15BBAEE4" w14:textId="77777777" w:rsidR="00DC2187" w:rsidRPr="00EB6BC8" w:rsidRDefault="00DC2187" w:rsidP="00DC2187">
      <w:pPr>
        <w:spacing w:after="0"/>
        <w:jc w:val="both"/>
        <w:rPr>
          <w:rFonts w:ascii="Times New Roman" w:hAnsi="Times New Roman" w:cs="Times New Roman"/>
          <w:sz w:val="28"/>
          <w:szCs w:val="28"/>
        </w:rPr>
      </w:pPr>
    </w:p>
    <w:p w14:paraId="5C311FEB"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lastRenderedPageBreak/>
        <w:tab/>
        <w:t xml:space="preserve">An automobile being operated by Bell collided into the rear end of an automobile being driven by Moore. The total medical charges incurred by Moore were $40,227. Moore admitted his medical insurance company paid most of his medical </w:t>
      </w:r>
      <w:r w:rsidR="00513629">
        <w:rPr>
          <w:rFonts w:ascii="Times New Roman" w:hAnsi="Times New Roman" w:cs="Times New Roman"/>
          <w:sz w:val="28"/>
          <w:szCs w:val="28"/>
        </w:rPr>
        <w:t>bills</w:t>
      </w:r>
      <w:r w:rsidRPr="00EB6BC8">
        <w:rPr>
          <w:rFonts w:ascii="Times New Roman" w:hAnsi="Times New Roman" w:cs="Times New Roman"/>
          <w:sz w:val="28"/>
          <w:szCs w:val="28"/>
        </w:rPr>
        <w:t>. Moore filed a complaint against Bell. The parties stipulated to lia</w:t>
      </w:r>
      <w:r w:rsidRPr="00EB6BC8">
        <w:rPr>
          <w:rFonts w:ascii="Times New Roman" w:hAnsi="Times New Roman" w:cs="Times New Roman"/>
          <w:sz w:val="28"/>
          <w:szCs w:val="28"/>
        </w:rPr>
        <w:softHyphen/>
        <w:t>bility. No evidence was presented indicating Moore would have to reimburse his health insurer for the amounts it had paid on his behalf but during closing argument, his at</w:t>
      </w:r>
      <w:r w:rsidRPr="00EB6BC8">
        <w:rPr>
          <w:rFonts w:ascii="Times New Roman" w:hAnsi="Times New Roman" w:cs="Times New Roman"/>
          <w:sz w:val="28"/>
          <w:szCs w:val="28"/>
        </w:rPr>
        <w:softHyphen/>
        <w:t xml:space="preserve">torney argued, without objection, Moore would have to reimburse the health insurer $5,314 if he recovered an award of damages. The jury returned a $40,000 verdict. Moore filed a motion for new trial, asserting the judgment was less than the amount of Moore’s medical bills and failed to account for pain and suffering. The trial court granted the new trial motion and Bell appealed. </w:t>
      </w:r>
    </w:p>
    <w:p w14:paraId="63A251F6" w14:textId="77777777" w:rsidR="00DC2187" w:rsidRPr="00EB6BC8" w:rsidRDefault="00DC2187" w:rsidP="00DC2187">
      <w:pPr>
        <w:spacing w:after="0"/>
        <w:jc w:val="both"/>
        <w:rPr>
          <w:rFonts w:ascii="Times New Roman" w:hAnsi="Times New Roman" w:cs="Times New Roman"/>
          <w:sz w:val="28"/>
          <w:szCs w:val="28"/>
        </w:rPr>
      </w:pPr>
    </w:p>
    <w:p w14:paraId="652F312B" w14:textId="77777777" w:rsidR="00DC2187" w:rsidRPr="00EB6BC8" w:rsidRDefault="00DC2187" w:rsidP="00DC2187">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Alabama Supreme Court reversed the trial court's order. Generally, a jury’s verdict in an action where liability has been proven must be in an amount at least as high as the uncontradicted special damages, as well as an amount to compensate for pain and suffering. However, in a case where medical damages are claimed, some of which may have been paid by medical insurance, the amount of the damages recoverable may be less than the total medical expenses incurred. In this case, al</w:t>
      </w:r>
      <w:r w:rsidRPr="00EB6BC8">
        <w:rPr>
          <w:rFonts w:ascii="Times New Roman" w:hAnsi="Times New Roman" w:cs="Times New Roman"/>
          <w:sz w:val="28"/>
          <w:szCs w:val="28"/>
        </w:rPr>
        <w:softHyphen/>
        <w:t>though it was uncontradicted that Moore had incurred $40,227.14 in medical expenses, Moore admitted his health insurer had paid for most of those expenses. The record indicates Moore paid approximately $2,500 in out-of-pocket medical expenses. Even if Moore has to repay his health insurer the amount stated by his counsel during closing argument, that leaves over $30,000 to compensate Moore for future medical expenses and pain and suffering. The trial court exceeded its discretion in setting aside the jury verdict as inadequate and the order granting Moore’s motion for a new trial is due to be reversed.</w:t>
      </w:r>
    </w:p>
    <w:p w14:paraId="5E7E208D" w14:textId="77777777" w:rsidR="0040685D" w:rsidRPr="00EB6BC8" w:rsidRDefault="0040685D" w:rsidP="0040685D">
      <w:pPr>
        <w:spacing w:after="0"/>
        <w:rPr>
          <w:rFonts w:ascii="Times New Roman" w:hAnsi="Times New Roman" w:cs="Times New Roman"/>
          <w:b/>
          <w:bCs/>
          <w:iCs/>
          <w:sz w:val="28"/>
          <w:szCs w:val="28"/>
        </w:rPr>
      </w:pPr>
    </w:p>
    <w:p w14:paraId="27B3AA93" w14:textId="77777777" w:rsidR="00E07BA3" w:rsidRPr="00EB6BC8" w:rsidRDefault="00E07BA3" w:rsidP="00E07BA3">
      <w:pPr>
        <w:spacing w:after="0"/>
        <w:jc w:val="both"/>
        <w:rPr>
          <w:rFonts w:ascii="Times New Roman" w:hAnsi="Times New Roman" w:cs="Times New Roman"/>
          <w:sz w:val="28"/>
          <w:szCs w:val="28"/>
        </w:rPr>
      </w:pPr>
      <w:r w:rsidRPr="00EB6BC8">
        <w:rPr>
          <w:rFonts w:ascii="Times New Roman" w:hAnsi="Times New Roman" w:cs="Times New Roman"/>
          <w:b/>
          <w:bCs/>
          <w:iCs/>
          <w:sz w:val="28"/>
          <w:szCs w:val="28"/>
        </w:rPr>
        <w:t>Permanent injuries/mortality table—</w:t>
      </w:r>
      <w:r w:rsidRPr="00EB6BC8">
        <w:rPr>
          <w:rFonts w:ascii="Times New Roman" w:hAnsi="Times New Roman" w:cs="Times New Roman"/>
          <w:b/>
          <w:bCs/>
          <w:i/>
          <w:iCs/>
          <w:sz w:val="28"/>
          <w:szCs w:val="28"/>
        </w:rPr>
        <w:t>Hicks v. Allstate Ins. Co.</w:t>
      </w:r>
      <w:r w:rsidRPr="00EB6BC8">
        <w:rPr>
          <w:rFonts w:ascii="Times New Roman" w:hAnsi="Times New Roman" w:cs="Times New Roman"/>
          <w:b/>
          <w:bCs/>
          <w:sz w:val="28"/>
          <w:szCs w:val="28"/>
        </w:rPr>
        <w:t xml:space="preserve">, 2020 WL 3396011 (Ala. June 19, 2020) </w:t>
      </w:r>
    </w:p>
    <w:p w14:paraId="32A38BB7" w14:textId="77777777" w:rsidR="00E07BA3" w:rsidRPr="00EB6BC8" w:rsidRDefault="00E07BA3" w:rsidP="00E07BA3">
      <w:pPr>
        <w:spacing w:after="0"/>
        <w:jc w:val="both"/>
        <w:rPr>
          <w:rFonts w:ascii="Times New Roman" w:hAnsi="Times New Roman" w:cs="Times New Roman"/>
          <w:sz w:val="28"/>
          <w:szCs w:val="28"/>
        </w:rPr>
      </w:pPr>
    </w:p>
    <w:p w14:paraId="4733BBCE" w14:textId="77777777" w:rsidR="00E07BA3" w:rsidRPr="00EB6BC8" w:rsidRDefault="00E07BA3" w:rsidP="00E07BA3">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trial court exceed</w:t>
      </w:r>
      <w:r w:rsidRPr="00EB6BC8">
        <w:rPr>
          <w:rFonts w:ascii="Times New Roman" w:hAnsi="Times New Roman" w:cs="Times New Roman"/>
          <w:sz w:val="28"/>
          <w:szCs w:val="28"/>
        </w:rPr>
        <w:softHyphen/>
        <w:t xml:space="preserve">ed its discretion in refusing to admit into evidence the mortality table offered by the </w:t>
      </w:r>
      <w:r w:rsidR="0082619D">
        <w:rPr>
          <w:rFonts w:ascii="Times New Roman" w:hAnsi="Times New Roman" w:cs="Times New Roman"/>
          <w:sz w:val="28"/>
          <w:szCs w:val="28"/>
        </w:rPr>
        <w:t>p</w:t>
      </w:r>
      <w:r w:rsidRPr="00EB6BC8">
        <w:rPr>
          <w:rFonts w:ascii="Times New Roman" w:hAnsi="Times New Roman" w:cs="Times New Roman"/>
          <w:sz w:val="28"/>
          <w:szCs w:val="28"/>
        </w:rPr>
        <w:t xml:space="preserve">laintiff where evidence of permanent injuries was presented to the jury. </w:t>
      </w:r>
    </w:p>
    <w:p w14:paraId="26B89CE3" w14:textId="77777777" w:rsidR="00E07BA3" w:rsidRPr="00EB6BC8" w:rsidRDefault="00E07BA3" w:rsidP="00E07BA3">
      <w:pPr>
        <w:spacing w:after="0"/>
        <w:jc w:val="both"/>
        <w:rPr>
          <w:rFonts w:ascii="Times New Roman" w:hAnsi="Times New Roman" w:cs="Times New Roman"/>
          <w:sz w:val="28"/>
          <w:szCs w:val="28"/>
        </w:rPr>
      </w:pPr>
    </w:p>
    <w:p w14:paraId="13677C25" w14:textId="77777777" w:rsidR="00E07BA3" w:rsidRPr="00EB6BC8" w:rsidRDefault="00E07BA3" w:rsidP="00E07BA3">
      <w:pPr>
        <w:spacing w:after="0"/>
        <w:jc w:val="both"/>
        <w:rPr>
          <w:rFonts w:ascii="Times New Roman" w:hAnsi="Times New Roman" w:cs="Times New Roman"/>
          <w:b/>
          <w:bCs/>
          <w:sz w:val="28"/>
          <w:szCs w:val="28"/>
        </w:rPr>
      </w:pPr>
      <w:r w:rsidRPr="00EB6BC8">
        <w:rPr>
          <w:rFonts w:ascii="Times New Roman" w:hAnsi="Times New Roman" w:cs="Times New Roman"/>
          <w:b/>
          <w:bCs/>
          <w:iCs/>
          <w:sz w:val="28"/>
          <w:szCs w:val="28"/>
        </w:rPr>
        <w:t>Juror Qualifications</w:t>
      </w:r>
      <w:r w:rsidRPr="00EB6BC8">
        <w:rPr>
          <w:rFonts w:ascii="Times New Roman" w:hAnsi="Times New Roman" w:cs="Times New Roman"/>
          <w:b/>
          <w:bCs/>
          <w:i/>
          <w:iCs/>
          <w:sz w:val="28"/>
          <w:szCs w:val="28"/>
        </w:rPr>
        <w:t>—Leftwich v. Brewster</w:t>
      </w:r>
      <w:r w:rsidRPr="00EB6BC8">
        <w:rPr>
          <w:rFonts w:ascii="Times New Roman" w:hAnsi="Times New Roman" w:cs="Times New Roman"/>
          <w:b/>
          <w:bCs/>
          <w:sz w:val="28"/>
          <w:szCs w:val="28"/>
        </w:rPr>
        <w:t>, 2020 WL 1647867 (Ala. Apr. 3, 2020)</w:t>
      </w:r>
    </w:p>
    <w:p w14:paraId="04125C74" w14:textId="77777777" w:rsidR="00E07BA3" w:rsidRPr="00EB6BC8" w:rsidRDefault="00E07BA3" w:rsidP="00E07BA3">
      <w:pPr>
        <w:spacing w:after="0"/>
        <w:jc w:val="both"/>
        <w:rPr>
          <w:rFonts w:ascii="Times New Roman" w:hAnsi="Times New Roman" w:cs="Times New Roman"/>
          <w:sz w:val="28"/>
          <w:szCs w:val="28"/>
        </w:rPr>
      </w:pPr>
    </w:p>
    <w:p w14:paraId="4F718CC8" w14:textId="77777777" w:rsidR="0040685D" w:rsidRPr="00EB6BC8" w:rsidRDefault="00E07BA3" w:rsidP="0082619D">
      <w:pPr>
        <w:spacing w:after="0"/>
        <w:jc w:val="both"/>
        <w:rPr>
          <w:rFonts w:ascii="Times New Roman" w:hAnsi="Times New Roman" w:cs="Times New Roman"/>
          <w:b/>
          <w:bCs/>
          <w:iCs/>
          <w:sz w:val="28"/>
          <w:szCs w:val="28"/>
        </w:rPr>
      </w:pPr>
      <w:r w:rsidRPr="00EB6BC8">
        <w:rPr>
          <w:rFonts w:ascii="Times New Roman" w:hAnsi="Times New Roman" w:cs="Times New Roman"/>
          <w:sz w:val="28"/>
          <w:szCs w:val="28"/>
        </w:rPr>
        <w:lastRenderedPageBreak/>
        <w:tab/>
        <w:t xml:space="preserve">At the conclusion of </w:t>
      </w:r>
      <w:proofErr w:type="spellStart"/>
      <w:r w:rsidRPr="00EB6BC8">
        <w:rPr>
          <w:rFonts w:ascii="Times New Roman" w:hAnsi="Times New Roman" w:cs="Times New Roman"/>
          <w:sz w:val="28"/>
          <w:szCs w:val="28"/>
        </w:rPr>
        <w:t>voir</w:t>
      </w:r>
      <w:proofErr w:type="spellEnd"/>
      <w:r w:rsidRPr="00EB6BC8">
        <w:rPr>
          <w:rFonts w:ascii="Times New Roman" w:hAnsi="Times New Roman" w:cs="Times New Roman"/>
          <w:sz w:val="28"/>
          <w:szCs w:val="28"/>
        </w:rPr>
        <w:t xml:space="preserve"> dire, Leftwich’s counsel asked that Chad and Melissa Battles be struck from the jury for cause because they were married to each other. The trial court denied that motion and Melissa Battles be</w:t>
      </w:r>
      <w:r w:rsidRPr="00EB6BC8">
        <w:rPr>
          <w:rFonts w:ascii="Times New Roman" w:hAnsi="Times New Roman" w:cs="Times New Roman"/>
          <w:sz w:val="28"/>
          <w:szCs w:val="28"/>
        </w:rPr>
        <w:softHyphen/>
        <w:t>came the foreperson of the jury. Leftwich challenged the trial court’s refusal to grant his challenge for cause to the two married members of the jury panel. He claims that there was an “implied bias” based on their rela</w:t>
      </w:r>
      <w:r w:rsidRPr="00EB6BC8">
        <w:rPr>
          <w:rFonts w:ascii="Times New Roman" w:hAnsi="Times New Roman" w:cs="Times New Roman"/>
          <w:sz w:val="28"/>
          <w:szCs w:val="28"/>
        </w:rPr>
        <w:softHyphen/>
        <w:t>tionship. Ala. Code 1975, §12-16-150 lists 12 catego</w:t>
      </w:r>
      <w:r w:rsidRPr="00EB6BC8">
        <w:rPr>
          <w:rFonts w:ascii="Times New Roman" w:hAnsi="Times New Roman" w:cs="Times New Roman"/>
          <w:sz w:val="28"/>
          <w:szCs w:val="28"/>
        </w:rPr>
        <w:softHyphen/>
        <w:t>ries in which bias will be presumed for a prospective juror. Marriage is not listed among them. Leftwich failed to cite any authority that actually states that spouses should not simultaneously serve on a jury.</w:t>
      </w:r>
    </w:p>
    <w:p w14:paraId="5232A8CD" w14:textId="77777777" w:rsidR="0040685D" w:rsidRPr="00EB6BC8" w:rsidRDefault="0040685D" w:rsidP="0040685D">
      <w:pPr>
        <w:spacing w:after="0"/>
        <w:rPr>
          <w:rFonts w:ascii="Times New Roman" w:hAnsi="Times New Roman" w:cs="Times New Roman"/>
          <w:b/>
          <w:bCs/>
          <w:iCs/>
          <w:sz w:val="28"/>
          <w:szCs w:val="28"/>
        </w:rPr>
      </w:pPr>
    </w:p>
    <w:p w14:paraId="7C8299A2" w14:textId="77777777" w:rsidR="0040685D" w:rsidRPr="00EB6BC8" w:rsidRDefault="0040685D" w:rsidP="0040685D">
      <w:pPr>
        <w:spacing w:after="0"/>
        <w:rPr>
          <w:rFonts w:ascii="Times New Roman" w:hAnsi="Times New Roman" w:cs="Times New Roman"/>
          <w:sz w:val="28"/>
          <w:szCs w:val="28"/>
        </w:rPr>
      </w:pPr>
      <w:r w:rsidRPr="00EB6BC8">
        <w:rPr>
          <w:rFonts w:ascii="Times New Roman" w:hAnsi="Times New Roman" w:cs="Times New Roman"/>
          <w:b/>
          <w:bCs/>
          <w:iCs/>
          <w:sz w:val="28"/>
          <w:szCs w:val="28"/>
        </w:rPr>
        <w:t>Appeal—</w:t>
      </w:r>
      <w:proofErr w:type="spellStart"/>
      <w:r w:rsidRPr="00EB6BC8">
        <w:rPr>
          <w:rFonts w:ascii="Times New Roman" w:hAnsi="Times New Roman" w:cs="Times New Roman"/>
          <w:b/>
          <w:bCs/>
          <w:i/>
          <w:iCs/>
          <w:sz w:val="28"/>
          <w:szCs w:val="28"/>
        </w:rPr>
        <w:t>McCarn</w:t>
      </w:r>
      <w:proofErr w:type="spellEnd"/>
      <w:r w:rsidRPr="00EB6BC8">
        <w:rPr>
          <w:rFonts w:ascii="Times New Roman" w:hAnsi="Times New Roman" w:cs="Times New Roman"/>
          <w:b/>
          <w:bCs/>
          <w:i/>
          <w:iCs/>
          <w:sz w:val="28"/>
          <w:szCs w:val="28"/>
        </w:rPr>
        <w:t xml:space="preserve"> v. </w:t>
      </w:r>
      <w:proofErr w:type="spellStart"/>
      <w:r w:rsidRPr="00EB6BC8">
        <w:rPr>
          <w:rFonts w:ascii="Times New Roman" w:hAnsi="Times New Roman" w:cs="Times New Roman"/>
          <w:b/>
          <w:bCs/>
          <w:i/>
          <w:iCs/>
          <w:sz w:val="28"/>
          <w:szCs w:val="28"/>
        </w:rPr>
        <w:t>Langan</w:t>
      </w:r>
      <w:proofErr w:type="spellEnd"/>
      <w:r w:rsidRPr="00EB6BC8">
        <w:rPr>
          <w:rFonts w:ascii="Times New Roman" w:hAnsi="Times New Roman" w:cs="Times New Roman"/>
          <w:b/>
          <w:bCs/>
          <w:sz w:val="28"/>
          <w:szCs w:val="28"/>
        </w:rPr>
        <w:t>, 293 So. 3d 383 (Ala. Civ. App. 2019)</w:t>
      </w:r>
      <w:r w:rsidRPr="00EB6BC8">
        <w:rPr>
          <w:rFonts w:ascii="Times New Roman" w:hAnsi="Times New Roman" w:cs="Times New Roman"/>
          <w:b/>
          <w:bCs/>
          <w:iCs/>
          <w:sz w:val="28"/>
          <w:szCs w:val="28"/>
        </w:rPr>
        <w:t xml:space="preserve"> </w:t>
      </w:r>
    </w:p>
    <w:p w14:paraId="394CE1E6" w14:textId="77777777" w:rsidR="0040685D" w:rsidRPr="00EB6BC8" w:rsidRDefault="0040685D" w:rsidP="0040685D">
      <w:pPr>
        <w:spacing w:after="0"/>
        <w:jc w:val="both"/>
        <w:rPr>
          <w:rFonts w:ascii="Times New Roman" w:hAnsi="Times New Roman" w:cs="Times New Roman"/>
          <w:sz w:val="28"/>
          <w:szCs w:val="28"/>
        </w:rPr>
      </w:pPr>
    </w:p>
    <w:p w14:paraId="55830CBF" w14:textId="77777777" w:rsidR="0040685D" w:rsidRPr="00EB6BC8" w:rsidRDefault="0040685D" w:rsidP="0040685D">
      <w:pPr>
        <w:spacing w:after="0"/>
        <w:jc w:val="both"/>
        <w:rPr>
          <w:rFonts w:ascii="Times New Roman" w:hAnsi="Times New Roman" w:cs="Times New Roman"/>
          <w:sz w:val="28"/>
          <w:szCs w:val="28"/>
        </w:rPr>
      </w:pPr>
      <w:r w:rsidRPr="00EB6BC8">
        <w:rPr>
          <w:rFonts w:ascii="Times New Roman" w:hAnsi="Times New Roman" w:cs="Times New Roman"/>
          <w:sz w:val="28"/>
          <w:szCs w:val="28"/>
        </w:rPr>
        <w:tab/>
        <w:t>The parties were di</w:t>
      </w:r>
      <w:r w:rsidRPr="00EB6BC8">
        <w:rPr>
          <w:rFonts w:ascii="Times New Roman" w:hAnsi="Times New Roman" w:cs="Times New Roman"/>
          <w:sz w:val="28"/>
          <w:szCs w:val="28"/>
        </w:rPr>
        <w:softHyphen/>
        <w:t>vorced in 2014. In January 2018, the mother filed a modi</w:t>
      </w:r>
      <w:r w:rsidRPr="00EB6BC8">
        <w:rPr>
          <w:rFonts w:ascii="Times New Roman" w:hAnsi="Times New Roman" w:cs="Times New Roman"/>
          <w:sz w:val="28"/>
          <w:szCs w:val="28"/>
        </w:rPr>
        <w:softHyphen/>
        <w:t>fication petition alleging that the father had failed to pay child support as directed by the 2014 divorce judgment. on June 14, 2018, the trial court entered a judgment. On June 20, 2018, the trial court entered a second, identical judgment. The father filed a post-</w:t>
      </w:r>
      <w:r w:rsidRPr="00EB6BC8">
        <w:rPr>
          <w:rFonts w:ascii="Times New Roman" w:hAnsi="Times New Roman" w:cs="Times New Roman"/>
          <w:sz w:val="28"/>
          <w:szCs w:val="28"/>
        </w:rPr>
        <w:softHyphen/>
        <w:t>judgment motion on July 20, 2018, thirty-four days af</w:t>
      </w:r>
      <w:r w:rsidRPr="00EB6BC8">
        <w:rPr>
          <w:rFonts w:ascii="Times New Roman" w:hAnsi="Times New Roman" w:cs="Times New Roman"/>
          <w:sz w:val="28"/>
          <w:szCs w:val="28"/>
        </w:rPr>
        <w:softHyphen/>
        <w:t xml:space="preserve">ter the trial court entered its judgment. The Court held the notice of appeal was untimely </w:t>
      </w:r>
      <w:r w:rsidR="0082619D">
        <w:rPr>
          <w:rFonts w:ascii="Times New Roman" w:hAnsi="Times New Roman" w:cs="Times New Roman"/>
          <w:sz w:val="28"/>
          <w:szCs w:val="28"/>
        </w:rPr>
        <w:t>because</w:t>
      </w:r>
      <w:r w:rsidRPr="00EB6BC8">
        <w:rPr>
          <w:rFonts w:ascii="Times New Roman" w:hAnsi="Times New Roman" w:cs="Times New Roman"/>
          <w:sz w:val="28"/>
          <w:szCs w:val="28"/>
        </w:rPr>
        <w:t xml:space="preserve"> it was filed more than 42 days from the date of the entry of the initial judgment. The fact that a subsequent judgment was entered does not operate to extend the time for fil</w:t>
      </w:r>
      <w:r w:rsidRPr="00EB6BC8">
        <w:rPr>
          <w:rFonts w:ascii="Times New Roman" w:hAnsi="Times New Roman" w:cs="Times New Roman"/>
          <w:sz w:val="28"/>
          <w:szCs w:val="28"/>
        </w:rPr>
        <w:softHyphen/>
        <w:t xml:space="preserve">ing an appeal </w:t>
      </w:r>
      <w:r w:rsidR="0082619D">
        <w:rPr>
          <w:rFonts w:ascii="Times New Roman" w:hAnsi="Times New Roman" w:cs="Times New Roman"/>
          <w:sz w:val="28"/>
          <w:szCs w:val="28"/>
        </w:rPr>
        <w:t>where the subsequent judgment was</w:t>
      </w:r>
      <w:r w:rsidRPr="00EB6BC8">
        <w:rPr>
          <w:rFonts w:ascii="Times New Roman" w:hAnsi="Times New Roman" w:cs="Times New Roman"/>
          <w:sz w:val="28"/>
          <w:szCs w:val="28"/>
        </w:rPr>
        <w:t xml:space="preserve"> identical to the first judgment. The appeal was dismissed.</w:t>
      </w:r>
    </w:p>
    <w:p w14:paraId="1F8CCD36" w14:textId="77777777" w:rsidR="00BC0B65" w:rsidRPr="00EB6BC8" w:rsidRDefault="00BC0B65" w:rsidP="00BC0B65">
      <w:pPr>
        <w:spacing w:after="0"/>
        <w:jc w:val="both"/>
        <w:rPr>
          <w:rFonts w:ascii="Times New Roman" w:hAnsi="Times New Roman" w:cs="Times New Roman"/>
          <w:sz w:val="28"/>
          <w:szCs w:val="28"/>
        </w:rPr>
      </w:pPr>
    </w:p>
    <w:sectPr w:rsidR="00BC0B65" w:rsidRPr="00EB6B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87A99" w14:textId="77777777" w:rsidR="00C8658E" w:rsidRDefault="00C8658E" w:rsidP="00CF641D">
      <w:pPr>
        <w:spacing w:after="0" w:line="240" w:lineRule="auto"/>
      </w:pPr>
      <w:r>
        <w:separator/>
      </w:r>
    </w:p>
  </w:endnote>
  <w:endnote w:type="continuationSeparator" w:id="0">
    <w:p w14:paraId="576A0B72" w14:textId="77777777" w:rsidR="00C8658E" w:rsidRDefault="00C8658E" w:rsidP="00CF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4859069"/>
      <w:docPartObj>
        <w:docPartGallery w:val="Page Numbers (Bottom of Page)"/>
        <w:docPartUnique/>
      </w:docPartObj>
    </w:sdtPr>
    <w:sdtEndPr/>
    <w:sdtContent>
      <w:sdt>
        <w:sdtPr>
          <w:id w:val="-1705238520"/>
          <w:docPartObj>
            <w:docPartGallery w:val="Page Numbers (Top of Page)"/>
            <w:docPartUnique/>
          </w:docPartObj>
        </w:sdtPr>
        <w:sdtEndPr/>
        <w:sdtContent>
          <w:p w14:paraId="2A740E2E" w14:textId="77777777" w:rsidR="00EB6BC8" w:rsidRDefault="00EB6BC8" w:rsidP="00EB6BC8">
            <w:pPr>
              <w:pStyle w:val="Footer"/>
              <w:jc w:val="center"/>
            </w:pPr>
            <w:r w:rsidRPr="00EB6BC8">
              <w:rPr>
                <w:rFonts w:ascii="Times New Roman" w:hAnsi="Times New Roman" w:cs="Times New Roman"/>
                <w:sz w:val="28"/>
                <w:szCs w:val="28"/>
              </w:rPr>
              <w:t xml:space="preserve">Page </w:t>
            </w:r>
            <w:r w:rsidRPr="00EB6BC8">
              <w:rPr>
                <w:rFonts w:ascii="Times New Roman" w:hAnsi="Times New Roman" w:cs="Times New Roman"/>
                <w:b/>
                <w:bCs/>
                <w:sz w:val="28"/>
                <w:szCs w:val="28"/>
              </w:rPr>
              <w:fldChar w:fldCharType="begin"/>
            </w:r>
            <w:r w:rsidRPr="00EB6BC8">
              <w:rPr>
                <w:rFonts w:ascii="Times New Roman" w:hAnsi="Times New Roman" w:cs="Times New Roman"/>
                <w:b/>
                <w:bCs/>
                <w:sz w:val="28"/>
                <w:szCs w:val="28"/>
              </w:rPr>
              <w:instrText xml:space="preserve"> PAGE </w:instrText>
            </w:r>
            <w:r w:rsidRPr="00EB6BC8">
              <w:rPr>
                <w:rFonts w:ascii="Times New Roman" w:hAnsi="Times New Roman" w:cs="Times New Roman"/>
                <w:b/>
                <w:bCs/>
                <w:sz w:val="28"/>
                <w:szCs w:val="28"/>
              </w:rPr>
              <w:fldChar w:fldCharType="separate"/>
            </w:r>
            <w:r w:rsidR="004F091D">
              <w:rPr>
                <w:rFonts w:ascii="Times New Roman" w:hAnsi="Times New Roman" w:cs="Times New Roman"/>
                <w:b/>
                <w:bCs/>
                <w:noProof/>
                <w:sz w:val="28"/>
                <w:szCs w:val="28"/>
              </w:rPr>
              <w:t>1</w:t>
            </w:r>
            <w:r w:rsidRPr="00EB6BC8">
              <w:rPr>
                <w:rFonts w:ascii="Times New Roman" w:hAnsi="Times New Roman" w:cs="Times New Roman"/>
                <w:b/>
                <w:bCs/>
                <w:sz w:val="28"/>
                <w:szCs w:val="28"/>
              </w:rPr>
              <w:fldChar w:fldCharType="end"/>
            </w:r>
            <w:r w:rsidRPr="00EB6BC8">
              <w:rPr>
                <w:rFonts w:ascii="Times New Roman" w:hAnsi="Times New Roman" w:cs="Times New Roman"/>
                <w:sz w:val="28"/>
                <w:szCs w:val="28"/>
              </w:rPr>
              <w:t xml:space="preserve"> of </w:t>
            </w:r>
            <w:r w:rsidRPr="00EB6BC8">
              <w:rPr>
                <w:rFonts w:ascii="Times New Roman" w:hAnsi="Times New Roman" w:cs="Times New Roman"/>
                <w:b/>
                <w:bCs/>
                <w:sz w:val="28"/>
                <w:szCs w:val="28"/>
              </w:rPr>
              <w:fldChar w:fldCharType="begin"/>
            </w:r>
            <w:r w:rsidRPr="00EB6BC8">
              <w:rPr>
                <w:rFonts w:ascii="Times New Roman" w:hAnsi="Times New Roman" w:cs="Times New Roman"/>
                <w:b/>
                <w:bCs/>
                <w:sz w:val="28"/>
                <w:szCs w:val="28"/>
              </w:rPr>
              <w:instrText xml:space="preserve"> NUMPAGES  </w:instrText>
            </w:r>
            <w:r w:rsidRPr="00EB6BC8">
              <w:rPr>
                <w:rFonts w:ascii="Times New Roman" w:hAnsi="Times New Roman" w:cs="Times New Roman"/>
                <w:b/>
                <w:bCs/>
                <w:sz w:val="28"/>
                <w:szCs w:val="28"/>
              </w:rPr>
              <w:fldChar w:fldCharType="separate"/>
            </w:r>
            <w:r w:rsidR="004F091D">
              <w:rPr>
                <w:rFonts w:ascii="Times New Roman" w:hAnsi="Times New Roman" w:cs="Times New Roman"/>
                <w:b/>
                <w:bCs/>
                <w:noProof/>
                <w:sz w:val="28"/>
                <w:szCs w:val="28"/>
              </w:rPr>
              <w:t>23</w:t>
            </w:r>
            <w:r w:rsidRPr="00EB6BC8">
              <w:rPr>
                <w:rFonts w:ascii="Times New Roman" w:hAnsi="Times New Roman" w:cs="Times New Roman"/>
                <w:b/>
                <w:bCs/>
                <w:sz w:val="28"/>
                <w:szCs w:val="28"/>
              </w:rPr>
              <w:fldChar w:fldCharType="end"/>
            </w:r>
          </w:p>
        </w:sdtContent>
      </w:sdt>
    </w:sdtContent>
  </w:sdt>
  <w:p w14:paraId="4150C93C" w14:textId="77777777" w:rsidR="00507B25" w:rsidRDefault="00507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3135" w14:textId="77777777" w:rsidR="00C8658E" w:rsidRDefault="00C8658E" w:rsidP="00CF641D">
      <w:pPr>
        <w:spacing w:after="0" w:line="240" w:lineRule="auto"/>
      </w:pPr>
      <w:r>
        <w:separator/>
      </w:r>
    </w:p>
  </w:footnote>
  <w:footnote w:type="continuationSeparator" w:id="0">
    <w:p w14:paraId="5073C9D1" w14:textId="77777777" w:rsidR="00C8658E" w:rsidRDefault="00C8658E" w:rsidP="00CF6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23BB7" w14:textId="77777777" w:rsidR="007F7946" w:rsidRDefault="007F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BC448A"/>
    <w:multiLevelType w:val="hybridMultilevel"/>
    <w:tmpl w:val="863D15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C637E1"/>
    <w:multiLevelType w:val="hybridMultilevel"/>
    <w:tmpl w:val="89A8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51DE8"/>
    <w:multiLevelType w:val="hybridMultilevel"/>
    <w:tmpl w:val="93A9A0B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954"/>
    <w:rsid w:val="00005BFF"/>
    <w:rsid w:val="000157B0"/>
    <w:rsid w:val="00035AC6"/>
    <w:rsid w:val="00042C84"/>
    <w:rsid w:val="00050843"/>
    <w:rsid w:val="000729A8"/>
    <w:rsid w:val="0007571A"/>
    <w:rsid w:val="00080D4D"/>
    <w:rsid w:val="000A1A7F"/>
    <w:rsid w:val="000D6191"/>
    <w:rsid w:val="000D6259"/>
    <w:rsid w:val="000E2200"/>
    <w:rsid w:val="000F5943"/>
    <w:rsid w:val="001027BE"/>
    <w:rsid w:val="00110A70"/>
    <w:rsid w:val="00116B82"/>
    <w:rsid w:val="00117BE1"/>
    <w:rsid w:val="00130839"/>
    <w:rsid w:val="00130F3B"/>
    <w:rsid w:val="00133BA4"/>
    <w:rsid w:val="00145A7D"/>
    <w:rsid w:val="00147E51"/>
    <w:rsid w:val="00154DF2"/>
    <w:rsid w:val="00156B36"/>
    <w:rsid w:val="00170132"/>
    <w:rsid w:val="001944D9"/>
    <w:rsid w:val="001B5CDA"/>
    <w:rsid w:val="001B7CC2"/>
    <w:rsid w:val="001E4E81"/>
    <w:rsid w:val="001F4423"/>
    <w:rsid w:val="001F49FC"/>
    <w:rsid w:val="0020626F"/>
    <w:rsid w:val="0021331B"/>
    <w:rsid w:val="00217A2F"/>
    <w:rsid w:val="002320CF"/>
    <w:rsid w:val="00235943"/>
    <w:rsid w:val="00246A31"/>
    <w:rsid w:val="002510BC"/>
    <w:rsid w:val="00266A27"/>
    <w:rsid w:val="00280CA7"/>
    <w:rsid w:val="00281D86"/>
    <w:rsid w:val="002946AD"/>
    <w:rsid w:val="002A1954"/>
    <w:rsid w:val="002A5D22"/>
    <w:rsid w:val="002B5E43"/>
    <w:rsid w:val="002E2BF5"/>
    <w:rsid w:val="002F152A"/>
    <w:rsid w:val="002F5113"/>
    <w:rsid w:val="0032050B"/>
    <w:rsid w:val="003262AD"/>
    <w:rsid w:val="00330EEC"/>
    <w:rsid w:val="00333B63"/>
    <w:rsid w:val="00387FA3"/>
    <w:rsid w:val="00390FC3"/>
    <w:rsid w:val="00393CE2"/>
    <w:rsid w:val="00395966"/>
    <w:rsid w:val="003A2919"/>
    <w:rsid w:val="003A46AA"/>
    <w:rsid w:val="003A51D5"/>
    <w:rsid w:val="003C3BBF"/>
    <w:rsid w:val="003F0F93"/>
    <w:rsid w:val="003F23E5"/>
    <w:rsid w:val="003F31A6"/>
    <w:rsid w:val="0040213B"/>
    <w:rsid w:val="00406242"/>
    <w:rsid w:val="0040685D"/>
    <w:rsid w:val="004158A9"/>
    <w:rsid w:val="00427C5D"/>
    <w:rsid w:val="00430406"/>
    <w:rsid w:val="00465913"/>
    <w:rsid w:val="004B0F2E"/>
    <w:rsid w:val="004C5591"/>
    <w:rsid w:val="004D041C"/>
    <w:rsid w:val="004F091D"/>
    <w:rsid w:val="00501B07"/>
    <w:rsid w:val="00504A0E"/>
    <w:rsid w:val="00507B25"/>
    <w:rsid w:val="0051291B"/>
    <w:rsid w:val="00513629"/>
    <w:rsid w:val="00522AB5"/>
    <w:rsid w:val="00537161"/>
    <w:rsid w:val="00546154"/>
    <w:rsid w:val="00547AAF"/>
    <w:rsid w:val="005631C3"/>
    <w:rsid w:val="00580E15"/>
    <w:rsid w:val="00581250"/>
    <w:rsid w:val="0058777F"/>
    <w:rsid w:val="0059639A"/>
    <w:rsid w:val="005A7F2B"/>
    <w:rsid w:val="005B1199"/>
    <w:rsid w:val="005C2658"/>
    <w:rsid w:val="005E23DF"/>
    <w:rsid w:val="005F3288"/>
    <w:rsid w:val="005F746A"/>
    <w:rsid w:val="005F78AE"/>
    <w:rsid w:val="006043DE"/>
    <w:rsid w:val="00615ADD"/>
    <w:rsid w:val="00644EE9"/>
    <w:rsid w:val="0066487D"/>
    <w:rsid w:val="006745EA"/>
    <w:rsid w:val="00685DEE"/>
    <w:rsid w:val="006B066D"/>
    <w:rsid w:val="006B14F3"/>
    <w:rsid w:val="006B2617"/>
    <w:rsid w:val="006D6446"/>
    <w:rsid w:val="006D7529"/>
    <w:rsid w:val="006E1D2A"/>
    <w:rsid w:val="006F68D9"/>
    <w:rsid w:val="006F6EFE"/>
    <w:rsid w:val="00715A49"/>
    <w:rsid w:val="00717A39"/>
    <w:rsid w:val="0072112F"/>
    <w:rsid w:val="0073545D"/>
    <w:rsid w:val="00741CBD"/>
    <w:rsid w:val="00746A06"/>
    <w:rsid w:val="007662FD"/>
    <w:rsid w:val="007841B7"/>
    <w:rsid w:val="00792051"/>
    <w:rsid w:val="007A1D8D"/>
    <w:rsid w:val="007A7FB7"/>
    <w:rsid w:val="007B3251"/>
    <w:rsid w:val="007F4238"/>
    <w:rsid w:val="007F7946"/>
    <w:rsid w:val="00800AAF"/>
    <w:rsid w:val="00802BAD"/>
    <w:rsid w:val="00804295"/>
    <w:rsid w:val="00804D13"/>
    <w:rsid w:val="0080581B"/>
    <w:rsid w:val="0082619D"/>
    <w:rsid w:val="00830F0F"/>
    <w:rsid w:val="00832FB4"/>
    <w:rsid w:val="00835978"/>
    <w:rsid w:val="00842C10"/>
    <w:rsid w:val="008477C1"/>
    <w:rsid w:val="00871C8B"/>
    <w:rsid w:val="00872A56"/>
    <w:rsid w:val="00880D61"/>
    <w:rsid w:val="0088245B"/>
    <w:rsid w:val="008857E8"/>
    <w:rsid w:val="008A03E4"/>
    <w:rsid w:val="008C0CB5"/>
    <w:rsid w:val="008C20B7"/>
    <w:rsid w:val="008C4027"/>
    <w:rsid w:val="008D36BC"/>
    <w:rsid w:val="008E26B9"/>
    <w:rsid w:val="008F3702"/>
    <w:rsid w:val="009215B9"/>
    <w:rsid w:val="00924DF1"/>
    <w:rsid w:val="009304C3"/>
    <w:rsid w:val="0093359A"/>
    <w:rsid w:val="00952B8C"/>
    <w:rsid w:val="00965743"/>
    <w:rsid w:val="00970776"/>
    <w:rsid w:val="0098327D"/>
    <w:rsid w:val="009B5D4A"/>
    <w:rsid w:val="009D5161"/>
    <w:rsid w:val="009D590F"/>
    <w:rsid w:val="009E0CEB"/>
    <w:rsid w:val="009E6874"/>
    <w:rsid w:val="00A0529A"/>
    <w:rsid w:val="00A15DA3"/>
    <w:rsid w:val="00A21886"/>
    <w:rsid w:val="00A219B4"/>
    <w:rsid w:val="00A27E6C"/>
    <w:rsid w:val="00A311FE"/>
    <w:rsid w:val="00A41D08"/>
    <w:rsid w:val="00A56509"/>
    <w:rsid w:val="00A57240"/>
    <w:rsid w:val="00AA29FA"/>
    <w:rsid w:val="00AC39D2"/>
    <w:rsid w:val="00AC5460"/>
    <w:rsid w:val="00AE5378"/>
    <w:rsid w:val="00AE7A10"/>
    <w:rsid w:val="00B27F00"/>
    <w:rsid w:val="00B317EF"/>
    <w:rsid w:val="00B701CB"/>
    <w:rsid w:val="00B80F93"/>
    <w:rsid w:val="00B9060F"/>
    <w:rsid w:val="00BA3F14"/>
    <w:rsid w:val="00BA7553"/>
    <w:rsid w:val="00BC07B1"/>
    <w:rsid w:val="00BC0B65"/>
    <w:rsid w:val="00BD1E89"/>
    <w:rsid w:val="00BE6102"/>
    <w:rsid w:val="00BF7368"/>
    <w:rsid w:val="00C25809"/>
    <w:rsid w:val="00C260BE"/>
    <w:rsid w:val="00C474BA"/>
    <w:rsid w:val="00C55A6E"/>
    <w:rsid w:val="00C70C64"/>
    <w:rsid w:val="00C742B0"/>
    <w:rsid w:val="00C812CD"/>
    <w:rsid w:val="00C8658E"/>
    <w:rsid w:val="00C87362"/>
    <w:rsid w:val="00CA059C"/>
    <w:rsid w:val="00CA3DDF"/>
    <w:rsid w:val="00CD14A6"/>
    <w:rsid w:val="00CE74D1"/>
    <w:rsid w:val="00CF365D"/>
    <w:rsid w:val="00CF6185"/>
    <w:rsid w:val="00CF641D"/>
    <w:rsid w:val="00D14D56"/>
    <w:rsid w:val="00D17C33"/>
    <w:rsid w:val="00D37A9D"/>
    <w:rsid w:val="00D40001"/>
    <w:rsid w:val="00D53415"/>
    <w:rsid w:val="00D709CB"/>
    <w:rsid w:val="00D73C18"/>
    <w:rsid w:val="00D8099F"/>
    <w:rsid w:val="00D84EDE"/>
    <w:rsid w:val="00D869C8"/>
    <w:rsid w:val="00D91AF3"/>
    <w:rsid w:val="00DA7CCC"/>
    <w:rsid w:val="00DB0DA1"/>
    <w:rsid w:val="00DB5EA7"/>
    <w:rsid w:val="00DB6E9F"/>
    <w:rsid w:val="00DC2187"/>
    <w:rsid w:val="00DC4645"/>
    <w:rsid w:val="00DD3E03"/>
    <w:rsid w:val="00DD5D18"/>
    <w:rsid w:val="00DE1F1E"/>
    <w:rsid w:val="00E02A9F"/>
    <w:rsid w:val="00E073AF"/>
    <w:rsid w:val="00E07BA3"/>
    <w:rsid w:val="00E36435"/>
    <w:rsid w:val="00E36F49"/>
    <w:rsid w:val="00E450CD"/>
    <w:rsid w:val="00E528EB"/>
    <w:rsid w:val="00E57205"/>
    <w:rsid w:val="00E777EA"/>
    <w:rsid w:val="00E778FD"/>
    <w:rsid w:val="00E8294B"/>
    <w:rsid w:val="00E863B3"/>
    <w:rsid w:val="00E92FDE"/>
    <w:rsid w:val="00EA3F8D"/>
    <w:rsid w:val="00EB1339"/>
    <w:rsid w:val="00EB6BC8"/>
    <w:rsid w:val="00ED6CDD"/>
    <w:rsid w:val="00EE2A98"/>
    <w:rsid w:val="00EF42DE"/>
    <w:rsid w:val="00F07706"/>
    <w:rsid w:val="00F3059E"/>
    <w:rsid w:val="00F333FE"/>
    <w:rsid w:val="00F341D1"/>
    <w:rsid w:val="00F5653F"/>
    <w:rsid w:val="00F57A71"/>
    <w:rsid w:val="00F80030"/>
    <w:rsid w:val="00F80F3D"/>
    <w:rsid w:val="00F97F22"/>
    <w:rsid w:val="00FC0D35"/>
    <w:rsid w:val="00FD159A"/>
    <w:rsid w:val="00FD46E8"/>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8818"/>
  <w15:chartTrackingRefBased/>
  <w15:docId w15:val="{37B05DDE-8FD3-48B1-8509-B4E342F7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41D"/>
  </w:style>
  <w:style w:type="paragraph" w:styleId="Footer">
    <w:name w:val="footer"/>
    <w:basedOn w:val="Normal"/>
    <w:link w:val="FooterChar"/>
    <w:uiPriority w:val="99"/>
    <w:unhideWhenUsed/>
    <w:rsid w:val="00CF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41D"/>
  </w:style>
  <w:style w:type="paragraph" w:styleId="BalloonText">
    <w:name w:val="Balloon Text"/>
    <w:basedOn w:val="Normal"/>
    <w:link w:val="BalloonTextChar"/>
    <w:uiPriority w:val="99"/>
    <w:semiHidden/>
    <w:unhideWhenUsed/>
    <w:rsid w:val="006F68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8D9"/>
    <w:rPr>
      <w:rFonts w:ascii="Segoe UI" w:hAnsi="Segoe UI" w:cs="Segoe UI"/>
      <w:sz w:val="18"/>
      <w:szCs w:val="18"/>
    </w:rPr>
  </w:style>
  <w:style w:type="paragraph" w:styleId="ListParagraph">
    <w:name w:val="List Paragraph"/>
    <w:basedOn w:val="Normal"/>
    <w:uiPriority w:val="34"/>
    <w:qFormat/>
    <w:rsid w:val="00246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32729">
      <w:bodyDiv w:val="1"/>
      <w:marLeft w:val="0"/>
      <w:marRight w:val="0"/>
      <w:marTop w:val="0"/>
      <w:marBottom w:val="0"/>
      <w:divBdr>
        <w:top w:val="none" w:sz="0" w:space="0" w:color="auto"/>
        <w:left w:val="none" w:sz="0" w:space="0" w:color="auto"/>
        <w:bottom w:val="none" w:sz="0" w:space="0" w:color="auto"/>
        <w:right w:val="none" w:sz="0" w:space="0" w:color="auto"/>
      </w:divBdr>
    </w:div>
    <w:div w:id="218825111">
      <w:bodyDiv w:val="1"/>
      <w:marLeft w:val="0"/>
      <w:marRight w:val="0"/>
      <w:marTop w:val="0"/>
      <w:marBottom w:val="0"/>
      <w:divBdr>
        <w:top w:val="none" w:sz="0" w:space="0" w:color="auto"/>
        <w:left w:val="none" w:sz="0" w:space="0" w:color="auto"/>
        <w:bottom w:val="none" w:sz="0" w:space="0" w:color="auto"/>
        <w:right w:val="none" w:sz="0" w:space="0" w:color="auto"/>
      </w:divBdr>
    </w:div>
    <w:div w:id="516385256">
      <w:bodyDiv w:val="1"/>
      <w:marLeft w:val="0"/>
      <w:marRight w:val="0"/>
      <w:marTop w:val="0"/>
      <w:marBottom w:val="0"/>
      <w:divBdr>
        <w:top w:val="none" w:sz="0" w:space="0" w:color="auto"/>
        <w:left w:val="none" w:sz="0" w:space="0" w:color="auto"/>
        <w:bottom w:val="none" w:sz="0" w:space="0" w:color="auto"/>
        <w:right w:val="none" w:sz="0" w:space="0" w:color="auto"/>
      </w:divBdr>
    </w:div>
    <w:div w:id="618613318">
      <w:bodyDiv w:val="1"/>
      <w:marLeft w:val="0"/>
      <w:marRight w:val="0"/>
      <w:marTop w:val="0"/>
      <w:marBottom w:val="0"/>
      <w:divBdr>
        <w:top w:val="none" w:sz="0" w:space="0" w:color="auto"/>
        <w:left w:val="none" w:sz="0" w:space="0" w:color="auto"/>
        <w:bottom w:val="none" w:sz="0" w:space="0" w:color="auto"/>
        <w:right w:val="none" w:sz="0" w:space="0" w:color="auto"/>
      </w:divBdr>
    </w:div>
    <w:div w:id="648439624">
      <w:bodyDiv w:val="1"/>
      <w:marLeft w:val="0"/>
      <w:marRight w:val="0"/>
      <w:marTop w:val="0"/>
      <w:marBottom w:val="0"/>
      <w:divBdr>
        <w:top w:val="none" w:sz="0" w:space="0" w:color="auto"/>
        <w:left w:val="none" w:sz="0" w:space="0" w:color="auto"/>
        <w:bottom w:val="none" w:sz="0" w:space="0" w:color="auto"/>
        <w:right w:val="none" w:sz="0" w:space="0" w:color="auto"/>
      </w:divBdr>
    </w:div>
    <w:div w:id="772284597">
      <w:bodyDiv w:val="1"/>
      <w:marLeft w:val="0"/>
      <w:marRight w:val="0"/>
      <w:marTop w:val="0"/>
      <w:marBottom w:val="0"/>
      <w:divBdr>
        <w:top w:val="none" w:sz="0" w:space="0" w:color="auto"/>
        <w:left w:val="none" w:sz="0" w:space="0" w:color="auto"/>
        <w:bottom w:val="none" w:sz="0" w:space="0" w:color="auto"/>
        <w:right w:val="none" w:sz="0" w:space="0" w:color="auto"/>
      </w:divBdr>
    </w:div>
    <w:div w:id="848107236">
      <w:bodyDiv w:val="1"/>
      <w:marLeft w:val="0"/>
      <w:marRight w:val="0"/>
      <w:marTop w:val="0"/>
      <w:marBottom w:val="0"/>
      <w:divBdr>
        <w:top w:val="none" w:sz="0" w:space="0" w:color="auto"/>
        <w:left w:val="none" w:sz="0" w:space="0" w:color="auto"/>
        <w:bottom w:val="none" w:sz="0" w:space="0" w:color="auto"/>
        <w:right w:val="none" w:sz="0" w:space="0" w:color="auto"/>
      </w:divBdr>
    </w:div>
    <w:div w:id="1021123125">
      <w:bodyDiv w:val="1"/>
      <w:marLeft w:val="0"/>
      <w:marRight w:val="0"/>
      <w:marTop w:val="0"/>
      <w:marBottom w:val="0"/>
      <w:divBdr>
        <w:top w:val="none" w:sz="0" w:space="0" w:color="auto"/>
        <w:left w:val="none" w:sz="0" w:space="0" w:color="auto"/>
        <w:bottom w:val="none" w:sz="0" w:space="0" w:color="auto"/>
        <w:right w:val="none" w:sz="0" w:space="0" w:color="auto"/>
      </w:divBdr>
    </w:div>
    <w:div w:id="1061439881">
      <w:bodyDiv w:val="1"/>
      <w:marLeft w:val="0"/>
      <w:marRight w:val="0"/>
      <w:marTop w:val="0"/>
      <w:marBottom w:val="0"/>
      <w:divBdr>
        <w:top w:val="none" w:sz="0" w:space="0" w:color="auto"/>
        <w:left w:val="none" w:sz="0" w:space="0" w:color="auto"/>
        <w:bottom w:val="none" w:sz="0" w:space="0" w:color="auto"/>
        <w:right w:val="none" w:sz="0" w:space="0" w:color="auto"/>
      </w:divBdr>
    </w:div>
    <w:div w:id="1403676113">
      <w:bodyDiv w:val="1"/>
      <w:marLeft w:val="0"/>
      <w:marRight w:val="0"/>
      <w:marTop w:val="0"/>
      <w:marBottom w:val="0"/>
      <w:divBdr>
        <w:top w:val="none" w:sz="0" w:space="0" w:color="auto"/>
        <w:left w:val="none" w:sz="0" w:space="0" w:color="auto"/>
        <w:bottom w:val="none" w:sz="0" w:space="0" w:color="auto"/>
        <w:right w:val="none" w:sz="0" w:space="0" w:color="auto"/>
      </w:divBdr>
    </w:div>
    <w:div w:id="1626620164">
      <w:bodyDiv w:val="1"/>
      <w:marLeft w:val="0"/>
      <w:marRight w:val="0"/>
      <w:marTop w:val="0"/>
      <w:marBottom w:val="0"/>
      <w:divBdr>
        <w:top w:val="none" w:sz="0" w:space="0" w:color="auto"/>
        <w:left w:val="none" w:sz="0" w:space="0" w:color="auto"/>
        <w:bottom w:val="none" w:sz="0" w:space="0" w:color="auto"/>
        <w:right w:val="none" w:sz="0" w:space="0" w:color="auto"/>
      </w:divBdr>
    </w:div>
    <w:div w:id="1654984139">
      <w:bodyDiv w:val="1"/>
      <w:marLeft w:val="0"/>
      <w:marRight w:val="0"/>
      <w:marTop w:val="0"/>
      <w:marBottom w:val="0"/>
      <w:divBdr>
        <w:top w:val="none" w:sz="0" w:space="0" w:color="auto"/>
        <w:left w:val="none" w:sz="0" w:space="0" w:color="auto"/>
        <w:bottom w:val="none" w:sz="0" w:space="0" w:color="auto"/>
        <w:right w:val="none" w:sz="0" w:space="0" w:color="auto"/>
      </w:divBdr>
    </w:div>
    <w:div w:id="1887988625">
      <w:bodyDiv w:val="1"/>
      <w:marLeft w:val="0"/>
      <w:marRight w:val="0"/>
      <w:marTop w:val="0"/>
      <w:marBottom w:val="0"/>
      <w:divBdr>
        <w:top w:val="none" w:sz="0" w:space="0" w:color="auto"/>
        <w:left w:val="none" w:sz="0" w:space="0" w:color="auto"/>
        <w:bottom w:val="none" w:sz="0" w:space="0" w:color="auto"/>
        <w:right w:val="none" w:sz="0" w:space="0" w:color="auto"/>
      </w:divBdr>
    </w:div>
    <w:div w:id="19088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7658</Words>
  <Characters>43651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Christian &amp; Small</Company>
  <LinksUpToDate>false</LinksUpToDate>
  <CharactersWithSpaces>51207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 Kimberly</dc:creator>
  <cp:keywords/>
  <dc:description/>
  <cp:lastModifiedBy>Huntsville-Madison County Bar</cp:lastModifiedBy>
  <cp:revision>2</cp:revision>
  <cp:lastPrinted>2020-10-12T17:25:00Z</cp:lastPrinted>
  <dcterms:created xsi:type="dcterms:W3CDTF">2020-12-02T22:43:00Z</dcterms:created>
  <dcterms:modified xsi:type="dcterms:W3CDTF">2020-12-02T22:43:00Z</dcterms:modified>
</cp:coreProperties>
</file>